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9AEB8" w14:textId="063E615A" w:rsidR="002848E4" w:rsidRPr="001A6FE3" w:rsidRDefault="0010754F" w:rsidP="00C91F5C">
      <w:pPr>
        <w:spacing w:after="0" w:line="240" w:lineRule="auto"/>
        <w:jc w:val="center"/>
        <w:rPr>
          <w:rFonts w:ascii="Garamond" w:hAnsi="Garamond"/>
          <w:b/>
          <w:sz w:val="34"/>
          <w:szCs w:val="34"/>
        </w:rPr>
      </w:pPr>
      <w:bookmarkStart w:id="1" w:name="_Hlk481659662"/>
      <w:bookmarkStart w:id="2" w:name="_Hlk482038642"/>
      <w:r w:rsidRPr="001A6FE3">
        <w:rPr>
          <w:rFonts w:ascii="Garamond" w:hAnsi="Garamond"/>
          <w:noProof/>
          <w:lang w:eastAsia="pt-BR"/>
        </w:rPr>
        <w:drawing>
          <wp:anchor distT="0" distB="0" distL="114300" distR="114300" simplePos="0" relativeHeight="251657216" behindDoc="0" locked="0" layoutInCell="1" allowOverlap="1" wp14:anchorId="74E5ED09" wp14:editId="1A10FC4A">
            <wp:simplePos x="0" y="0"/>
            <wp:positionH relativeFrom="column">
              <wp:posOffset>-1362917</wp:posOffset>
            </wp:positionH>
            <wp:positionV relativeFrom="paragraph">
              <wp:posOffset>-1153160</wp:posOffset>
            </wp:positionV>
            <wp:extent cx="757123" cy="1078526"/>
            <wp:effectExtent l="0" t="0" r="0" b="1270"/>
            <wp:wrapNone/>
            <wp:docPr id="1216091663" name="Imagem 1216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pic:cNvPicPr>
                  </pic:nvPicPr>
                  <pic:blipFill>
                    <a:blip r:embed="rId8" cstate="print">
                      <a:biLevel thresh="25000"/>
                      <a:extLst>
                        <a:ext uri="{BEBA8EAE-BF5A-486C-A8C5-ECC9F3942E4B}">
                          <a14:imgProps xmlns:a14="http://schemas.microsoft.com/office/drawing/2010/main">
                            <a14:imgLayer r:embed="rId9">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57123" cy="1078526"/>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1A6FE3">
        <w:rPr>
          <w:rFonts w:ascii="Garamond" w:hAnsi="Garamond"/>
          <w:noProof/>
          <w:lang w:eastAsia="pt-BR"/>
        </w:rPr>
        <w:drawing>
          <wp:anchor distT="0" distB="0" distL="114300" distR="114300" simplePos="0" relativeHeight="251654144" behindDoc="0" locked="0" layoutInCell="1" allowOverlap="1" wp14:anchorId="0A8C8529" wp14:editId="03BEB415">
            <wp:simplePos x="0" y="0"/>
            <wp:positionH relativeFrom="column">
              <wp:posOffset>-221403</wp:posOffset>
            </wp:positionH>
            <wp:positionV relativeFrom="paragraph">
              <wp:posOffset>-1153160</wp:posOffset>
            </wp:positionV>
            <wp:extent cx="757123" cy="1078526"/>
            <wp:effectExtent l="0" t="0" r="0" b="1270"/>
            <wp:wrapNone/>
            <wp:docPr id="705567430" name="Imagem 70556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pic:cNvPicPr>
                  </pic:nvPicPr>
                  <pic:blipFill>
                    <a:blip r:embed="rId8" cstate="print">
                      <a:biLevel thresh="25000"/>
                      <a:extLst>
                        <a:ext uri="{BEBA8EAE-BF5A-486C-A8C5-ECC9F3942E4B}">
                          <a14:imgProps xmlns:a14="http://schemas.microsoft.com/office/drawing/2010/main">
                            <a14:imgLayer r:embed="rId9">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57123" cy="1078526"/>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1A6FE3">
        <w:rPr>
          <w:rFonts w:ascii="Garamond" w:hAnsi="Garamond"/>
          <w:noProof/>
          <w:lang w:eastAsia="pt-BR"/>
        </w:rPr>
        <w:drawing>
          <wp:anchor distT="0" distB="0" distL="114300" distR="114300" simplePos="0" relativeHeight="251651072" behindDoc="0" locked="0" layoutInCell="1" allowOverlap="1" wp14:anchorId="5FEDECA4" wp14:editId="23289E54">
            <wp:simplePos x="0" y="0"/>
            <wp:positionH relativeFrom="column">
              <wp:posOffset>-606002</wp:posOffset>
            </wp:positionH>
            <wp:positionV relativeFrom="paragraph">
              <wp:posOffset>-1153795</wp:posOffset>
            </wp:positionV>
            <wp:extent cx="757123" cy="1078526"/>
            <wp:effectExtent l="0" t="0" r="0" b="1270"/>
            <wp:wrapNone/>
            <wp:docPr id="1371380265" name="Imagem 137138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pic:cNvPicPr>
                  </pic:nvPicPr>
                  <pic:blipFill>
                    <a:blip r:embed="rId8" cstate="print">
                      <a:biLevel thresh="25000"/>
                      <a:extLst>
                        <a:ext uri="{BEBA8EAE-BF5A-486C-A8C5-ECC9F3942E4B}">
                          <a14:imgProps xmlns:a14="http://schemas.microsoft.com/office/drawing/2010/main">
                            <a14:imgLayer r:embed="rId9">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57123" cy="1078526"/>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1A6FE3">
        <w:rPr>
          <w:rFonts w:ascii="Garamond" w:hAnsi="Garamond"/>
          <w:noProof/>
          <w:lang w:eastAsia="pt-BR"/>
        </w:rPr>
        <w:drawing>
          <wp:anchor distT="0" distB="0" distL="114300" distR="114300" simplePos="0" relativeHeight="251643904" behindDoc="0" locked="0" layoutInCell="1" allowOverlap="1" wp14:anchorId="146A754B" wp14:editId="3D1A23B4">
            <wp:simplePos x="0" y="0"/>
            <wp:positionH relativeFrom="column">
              <wp:posOffset>-978536</wp:posOffset>
            </wp:positionH>
            <wp:positionV relativeFrom="paragraph">
              <wp:posOffset>-1178772</wp:posOffset>
            </wp:positionV>
            <wp:extent cx="757123" cy="1078526"/>
            <wp:effectExtent l="0" t="0" r="0" b="127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pic:cNvPicPr>
                  </pic:nvPicPr>
                  <pic:blipFill>
                    <a:blip r:embed="rId8" cstate="print">
                      <a:biLevel thresh="25000"/>
                      <a:extLst>
                        <a:ext uri="{BEBA8EAE-BF5A-486C-A8C5-ECC9F3942E4B}">
                          <a14:imgProps xmlns:a14="http://schemas.microsoft.com/office/drawing/2010/main">
                            <a14:imgLayer r:embed="rId9">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68841" cy="1095219"/>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290D48" w:rsidRPr="001A6FE3">
        <w:rPr>
          <w:rFonts w:ascii="Garamond" w:hAnsi="Garamond"/>
          <w:noProof/>
          <w:lang w:eastAsia="pt-BR"/>
        </w:rPr>
        <w:drawing>
          <wp:anchor distT="0" distB="0" distL="114300" distR="114300" simplePos="0" relativeHeight="251631616" behindDoc="1" locked="0" layoutInCell="1" allowOverlap="1" wp14:anchorId="5E6EB825" wp14:editId="2D36812A">
            <wp:simplePos x="0" y="0"/>
            <wp:positionH relativeFrom="column">
              <wp:posOffset>-2451735</wp:posOffset>
            </wp:positionH>
            <wp:positionV relativeFrom="page">
              <wp:posOffset>-1449705</wp:posOffset>
            </wp:positionV>
            <wp:extent cx="6898640" cy="9824085"/>
            <wp:effectExtent l="0" t="0" r="0" b="571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pic:cNvPicPr>
                  </pic:nvPicPr>
                  <pic:blipFill>
                    <a:blip r:embed="rId10">
                      <a:grayscl/>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898640" cy="9824085"/>
                    </a:xfrm>
                    <a:prstGeom prst="rect">
                      <a:avLst/>
                    </a:prstGeom>
                  </pic:spPr>
                </pic:pic>
              </a:graphicData>
            </a:graphic>
          </wp:anchor>
        </w:drawing>
      </w:r>
      <w:r w:rsidR="00DF31EF" w:rsidRPr="001A6FE3">
        <w:rPr>
          <w:rFonts w:ascii="Garamond" w:hAnsi="Garamond"/>
          <w:noProof/>
          <w:lang w:eastAsia="pt-BR"/>
        </w:rPr>
        <w:drawing>
          <wp:anchor distT="0" distB="0" distL="114300" distR="114300" simplePos="0" relativeHeight="251646976" behindDoc="0" locked="0" layoutInCell="1" allowOverlap="1" wp14:anchorId="3AC35001" wp14:editId="79E9F2A4">
            <wp:simplePos x="0" y="0"/>
            <wp:positionH relativeFrom="column">
              <wp:posOffset>4164330</wp:posOffset>
            </wp:positionH>
            <wp:positionV relativeFrom="paragraph">
              <wp:posOffset>-346710</wp:posOffset>
            </wp:positionV>
            <wp:extent cx="103505" cy="10350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505" cy="103505"/>
                    </a:xfrm>
                    <a:prstGeom prst="rect">
                      <a:avLst/>
                    </a:prstGeom>
                  </pic:spPr>
                </pic:pic>
              </a:graphicData>
            </a:graphic>
          </wp:anchor>
        </w:drawing>
      </w:r>
      <w:r w:rsidR="001D03E1" w:rsidRPr="001A6FE3">
        <w:rPr>
          <w:rFonts w:ascii="Garamond" w:hAnsi="Garamond"/>
          <w:noProof/>
          <w:lang w:eastAsia="pt-BR"/>
        </w:rPr>
        <mc:AlternateContent>
          <mc:Choice Requires="wps">
            <w:drawing>
              <wp:anchor distT="0" distB="0" distL="114300" distR="114300" simplePos="0" relativeHeight="251625472" behindDoc="0" locked="0" layoutInCell="1" allowOverlap="1" wp14:anchorId="57A47827" wp14:editId="4E13DEEF">
                <wp:simplePos x="0" y="0"/>
                <wp:positionH relativeFrom="column">
                  <wp:posOffset>4561205</wp:posOffset>
                </wp:positionH>
                <wp:positionV relativeFrom="paragraph">
                  <wp:posOffset>-218440</wp:posOffset>
                </wp:positionV>
                <wp:extent cx="767080" cy="122555"/>
                <wp:effectExtent l="0" t="0" r="0" b="0"/>
                <wp:wrapNone/>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080" cy="122555"/>
                        </a:xfrm>
                        <a:prstGeom prst="rect">
                          <a:avLst/>
                        </a:prstGeom>
                        <a:solidFill>
                          <a:srgbClr val="670001"/>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E32201A" id="Retângulo 26" o:spid="_x0000_s1026" style="position:absolute;margin-left:359.15pt;margin-top:-17.2pt;width:60.4pt;height:9.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" fillcolor="#670001" stroked="f">
                <v:textbox inset="2.88pt,2.88pt,2.88pt,2.88pt"/>
              </v:rect>
            </w:pict>
          </mc:Fallback>
        </mc:AlternateContent>
      </w:r>
      <w:bookmarkStart w:id="3" w:name="_Hlk482297086"/>
      <w:bookmarkEnd w:id="3"/>
      <w:r w:rsidR="001D03E1" w:rsidRPr="001A6FE3">
        <w:rPr>
          <w:rFonts w:ascii="Garamond" w:hAnsi="Garamond"/>
          <w:noProof/>
          <w:lang w:eastAsia="pt-BR"/>
        </w:rPr>
        <mc:AlternateContent>
          <mc:Choice Requires="wps">
            <w:drawing>
              <wp:anchor distT="0" distB="0" distL="114300" distR="114300" simplePos="0" relativeHeight="251628544" behindDoc="0" locked="0" layoutInCell="1" allowOverlap="1" wp14:anchorId="7EA461E0" wp14:editId="6B5C4559">
                <wp:simplePos x="0" y="0"/>
                <wp:positionH relativeFrom="column">
                  <wp:posOffset>1970405</wp:posOffset>
                </wp:positionH>
                <wp:positionV relativeFrom="page">
                  <wp:posOffset>95250</wp:posOffset>
                </wp:positionV>
                <wp:extent cx="3442970" cy="1144905"/>
                <wp:effectExtent l="0" t="0" r="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70" cy="1144905"/>
                        </a:xfrm>
                        <a:prstGeom prst="rect">
                          <a:avLst/>
                        </a:prstGeom>
                        <a:noFill/>
                        <a:ln w="9525">
                          <a:noFill/>
                          <a:miter lim="800000"/>
                          <a:headEnd/>
                          <a:tailEnd/>
                        </a:ln>
                      </wps:spPr>
                      <wps:txbx>
                        <w:txbxContent>
                          <w:p w14:paraId="1FA48BF9" w14:textId="77777777" w:rsidR="00D10792" w:rsidRPr="00052E17" w:rsidRDefault="00D10792" w:rsidP="001D3766">
                            <w:pPr>
                              <w:spacing w:after="0" w:line="240" w:lineRule="auto"/>
                              <w:jc w:val="right"/>
                              <w:rPr>
                                <w:rFonts w:ascii="Garamond" w:hAnsi="Garamond"/>
                                <w:sz w:val="18"/>
                              </w:rPr>
                            </w:pPr>
                            <w:bookmarkStart w:id="4" w:name="_Hlk482297028"/>
                            <w:bookmarkEnd w:id="4"/>
                            <w:r w:rsidRPr="00052E17">
                              <w:rPr>
                                <w:rFonts w:ascii="Garamond" w:hAnsi="Garamond"/>
                                <w:sz w:val="18"/>
                              </w:rPr>
                              <w:t>Revista Digital dos Programas de</w:t>
                            </w:r>
                          </w:p>
                          <w:p w14:paraId="069A9C6A" w14:textId="77777777" w:rsidR="00D10792" w:rsidRPr="00052E17" w:rsidRDefault="00D10792" w:rsidP="001D3766">
                            <w:pPr>
                              <w:spacing w:after="0" w:line="240" w:lineRule="auto"/>
                              <w:jc w:val="right"/>
                              <w:rPr>
                                <w:rFonts w:ascii="Garamond" w:hAnsi="Garamond"/>
                                <w:sz w:val="18"/>
                              </w:rPr>
                            </w:pPr>
                            <w:r w:rsidRPr="00052E17">
                              <w:rPr>
                                <w:rFonts w:ascii="Garamond" w:hAnsi="Garamond"/>
                                <w:sz w:val="18"/>
                              </w:rPr>
                              <w:t>Pós-Graduação do Departamento de Letras e Artes da UEFS</w:t>
                            </w:r>
                          </w:p>
                          <w:p w14:paraId="746F3086" w14:textId="6218E852" w:rsidR="00D10792" w:rsidRPr="00052E17" w:rsidRDefault="00D10792" w:rsidP="001D3766">
                            <w:pPr>
                              <w:spacing w:after="0" w:line="240" w:lineRule="auto"/>
                              <w:jc w:val="right"/>
                              <w:rPr>
                                <w:rFonts w:ascii="Garamond" w:hAnsi="Garamond"/>
                                <w:sz w:val="18"/>
                              </w:rPr>
                            </w:pPr>
                            <w:r w:rsidRPr="00052E17">
                              <w:rPr>
                                <w:rFonts w:ascii="Garamond" w:hAnsi="Garamond"/>
                                <w:sz w:val="18"/>
                              </w:rPr>
                              <w:t xml:space="preserve">Feira de Santana, v. </w:t>
                            </w:r>
                            <w:r w:rsidR="00057AD4">
                              <w:rPr>
                                <w:rFonts w:ascii="Garamond" w:hAnsi="Garamond"/>
                                <w:sz w:val="18"/>
                              </w:rPr>
                              <w:t>26</w:t>
                            </w:r>
                            <w:r w:rsidRPr="00052E17">
                              <w:rPr>
                                <w:rFonts w:ascii="Garamond" w:hAnsi="Garamond"/>
                                <w:sz w:val="18"/>
                              </w:rPr>
                              <w:t xml:space="preserve">, n. </w:t>
                            </w:r>
                            <w:r w:rsidR="00057AD4">
                              <w:rPr>
                                <w:rFonts w:ascii="Garamond" w:hAnsi="Garamond"/>
                                <w:sz w:val="18"/>
                              </w:rPr>
                              <w:t>2</w:t>
                            </w:r>
                            <w:r w:rsidRPr="00052E17">
                              <w:rPr>
                                <w:rFonts w:ascii="Garamond" w:hAnsi="Garamond"/>
                                <w:sz w:val="18"/>
                              </w:rPr>
                              <w:t xml:space="preserve">, p. </w:t>
                            </w:r>
                            <w:r w:rsidR="00C91F5C">
                              <w:rPr>
                                <w:rFonts w:ascii="Garamond" w:hAnsi="Garamond"/>
                                <w:sz w:val="18"/>
                              </w:rPr>
                              <w:t>47-60,</w:t>
                            </w:r>
                            <w:r w:rsidR="0070612C">
                              <w:rPr>
                                <w:rFonts w:ascii="Garamond" w:hAnsi="Garamond"/>
                                <w:sz w:val="18"/>
                              </w:rPr>
                              <w:t xml:space="preserve"> </w:t>
                            </w:r>
                            <w:r w:rsidR="00C91F5C">
                              <w:rPr>
                                <w:rFonts w:ascii="Garamond" w:hAnsi="Garamond"/>
                                <w:sz w:val="18"/>
                              </w:rPr>
                              <w:t xml:space="preserve">dezembro de </w:t>
                            </w:r>
                            <w:r w:rsidR="00DF31EF">
                              <w:rPr>
                                <w:rFonts w:ascii="Garamond" w:hAnsi="Garamond"/>
                                <w:sz w:val="18"/>
                              </w:rPr>
                              <w:t>20</w:t>
                            </w:r>
                            <w:r w:rsidR="00057AD4">
                              <w:rPr>
                                <w:rFonts w:ascii="Garamond" w:hAnsi="Garamond"/>
                                <w:sz w:val="18"/>
                              </w:rPr>
                              <w:t>2</w:t>
                            </w:r>
                            <w:r w:rsidR="00C91F5C">
                              <w:rPr>
                                <w:rFonts w:ascii="Garamond" w:hAnsi="Garamond"/>
                                <w:sz w:val="18"/>
                              </w:rPr>
                              <w:t>5</w:t>
                            </w:r>
                          </w:p>
                          <w:p w14:paraId="68A57059" w14:textId="77777777" w:rsidR="00D10792" w:rsidRPr="00106A1C" w:rsidRDefault="00D10792" w:rsidP="001D3766">
                            <w:pPr>
                              <w:spacing w:after="0" w:line="240" w:lineRule="auto"/>
                              <w:jc w:val="right"/>
                              <w:rPr>
                                <w:rFonts w:ascii="Garamond" w:hAnsi="Garamond"/>
                                <w:sz w:val="10"/>
                              </w:rPr>
                            </w:pPr>
                          </w:p>
                          <w:p w14:paraId="2DD40749" w14:textId="77777777" w:rsidR="003239BC" w:rsidRPr="003239BC" w:rsidRDefault="003239BC" w:rsidP="001D3766">
                            <w:pPr>
                              <w:spacing w:after="0" w:line="240" w:lineRule="auto"/>
                              <w:jc w:val="right"/>
                              <w:rPr>
                                <w:rFonts w:ascii="Garamond" w:hAnsi="Garamond"/>
                                <w:color w:val="670001"/>
                                <w:sz w:val="8"/>
                              </w:rPr>
                            </w:pPr>
                          </w:p>
                          <w:p w14:paraId="3A284626" w14:textId="77777777" w:rsidR="00326EAA" w:rsidRPr="00C87D17" w:rsidRDefault="00326EAA" w:rsidP="00326EAA">
                            <w:pPr>
                              <w:spacing w:after="0"/>
                              <w:jc w:val="right"/>
                              <w:rPr>
                                <w:rFonts w:ascii="Garamond" w:hAnsi="Garamond"/>
                                <w:bCs/>
                                <w:color w:val="670001"/>
                                <w:sz w:val="18"/>
                                <w:szCs w:val="40"/>
                              </w:rPr>
                            </w:pPr>
                            <w:r w:rsidRPr="00C87D17">
                              <w:rPr>
                                <w:rFonts w:ascii="Garamond" w:hAnsi="Garamond"/>
                                <w:bCs/>
                                <w:color w:val="670001"/>
                                <w:sz w:val="18"/>
                                <w:szCs w:val="40"/>
                              </w:rPr>
                              <w:t>http://periodicos.uefs.br/index.php/acordasletras/index</w:t>
                            </w:r>
                          </w:p>
                          <w:p w14:paraId="3617F659" w14:textId="520769F3" w:rsidR="00326EAA" w:rsidRPr="00C87D17" w:rsidRDefault="00326EAA" w:rsidP="00326EAA">
                            <w:pPr>
                              <w:spacing w:after="0"/>
                              <w:jc w:val="right"/>
                              <w:rPr>
                                <w:rFonts w:ascii="Garamond" w:hAnsi="Garamond"/>
                                <w:bCs/>
                                <w:color w:val="670001"/>
                                <w:sz w:val="18"/>
                                <w:szCs w:val="40"/>
                              </w:rPr>
                            </w:pPr>
                            <w:r w:rsidRPr="00326EAA">
                              <w:rPr>
                                <w:rFonts w:ascii="Garamond" w:hAnsi="Garamond"/>
                                <w:bCs/>
                                <w:color w:val="304C6A"/>
                                <w:sz w:val="18"/>
                                <w:szCs w:val="40"/>
                              </w:rPr>
                              <w:t xml:space="preserve">     </w:t>
                            </w:r>
                            <w:r w:rsidR="00C91F5C" w:rsidRPr="00C91F5C">
                              <w:rPr>
                                <w:rFonts w:ascii="Garamond" w:hAnsi="Garamond"/>
                                <w:bCs/>
                                <w:color w:val="670001"/>
                                <w:sz w:val="18"/>
                                <w:szCs w:val="40"/>
                              </w:rPr>
                              <w:t>10.13102/</w:t>
                            </w:r>
                            <w:proofErr w:type="gramStart"/>
                            <w:r w:rsidR="00C91F5C" w:rsidRPr="00C91F5C">
                              <w:rPr>
                                <w:rFonts w:ascii="Garamond" w:hAnsi="Garamond"/>
                                <w:bCs/>
                                <w:color w:val="670001"/>
                                <w:sz w:val="18"/>
                                <w:szCs w:val="40"/>
                              </w:rPr>
                              <w:t>cl.v</w:t>
                            </w:r>
                            <w:proofErr w:type="gramEnd"/>
                            <w:r w:rsidR="00C91F5C" w:rsidRPr="00C91F5C">
                              <w:rPr>
                                <w:rFonts w:ascii="Garamond" w:hAnsi="Garamond"/>
                                <w:bCs/>
                                <w:color w:val="670001"/>
                                <w:sz w:val="18"/>
                                <w:szCs w:val="40"/>
                              </w:rPr>
                              <w:t>26i2.11951</w:t>
                            </w:r>
                          </w:p>
                          <w:p w14:paraId="5052864E" w14:textId="77777777" w:rsidR="00DF31EF" w:rsidRPr="005D4A5C" w:rsidRDefault="00DF31EF" w:rsidP="00DF31EF">
                            <w:pPr>
                              <w:spacing w:after="0"/>
                              <w:jc w:val="right"/>
                              <w:rPr>
                                <w:rFonts w:ascii="Garamond" w:hAnsi="Garamond"/>
                                <w:b/>
                                <w:color w:val="FFFFFF" w:themeColor="background1"/>
                                <w:sz w:val="18"/>
                              </w:rPr>
                            </w:pPr>
                            <w:r w:rsidRPr="00C87D17">
                              <w:rPr>
                                <w:rFonts w:ascii="Garamond" w:hAnsi="Garamond"/>
                                <w:b/>
                                <w:color w:val="FFFFFF" w:themeColor="background1"/>
                                <w:sz w:val="18"/>
                              </w:rPr>
                              <w:t>ISSN 2594-9675</w:t>
                            </w:r>
                          </w:p>
                          <w:p w14:paraId="08F72D3D" w14:textId="77777777" w:rsidR="00D10792" w:rsidRPr="005D4A5C" w:rsidRDefault="00D10792" w:rsidP="00623F9A">
                            <w:pPr>
                              <w:spacing w:after="0"/>
                              <w:jc w:val="right"/>
                              <w:rPr>
                                <w:rFonts w:ascii="Garamond" w:hAnsi="Garamond"/>
                                <w:b/>
                                <w:color w:val="FFFFFF" w:themeColor="background1"/>
                                <w:sz w:val="18"/>
                              </w:rPr>
                            </w:pPr>
                          </w:p>
                          <w:p w14:paraId="0D8F3AE8" w14:textId="77777777" w:rsidR="00D10792" w:rsidRPr="00052E17" w:rsidRDefault="00D10792" w:rsidP="00D10792">
                            <w:pPr>
                              <w:spacing w:after="0"/>
                              <w:jc w:val="both"/>
                              <w:rPr>
                                <w:rFonts w:ascii="Garamond" w:hAnsi="Garamond"/>
                                <w:i/>
                                <w:color w:val="670001"/>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EA461E0" id="_x0000_t202" coordsize="21600,21600" o:spt="202" path="m,l,21600r21600,l21600,xe">
                <v:stroke joinstyle="miter"/>
                <v:path gradientshapeok="t" o:connecttype="rect"/>
              </v:shapetype>
              <v:shape id="Caixa de Texto 2" o:spid="_x0000_s1026" type="#_x0000_t202" style="position:absolute;left:0;text-align:left;margin-left:155.15pt;margin-top:7.5pt;width:271.1pt;height:9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" filled="f" stroked="f">
                <v:textbox>
                  <w:txbxContent>
                    <w:p w14:paraId="1FA48BF9" w14:textId="77777777" w:rsidR="00D10792" w:rsidRPr="00052E17" w:rsidRDefault="00D10792" w:rsidP="001D3766">
                      <w:pPr>
                        <w:spacing w:after="0" w:line="240" w:lineRule="auto"/>
                        <w:jc w:val="right"/>
                        <w:rPr>
                          <w:rFonts w:ascii="Garamond" w:hAnsi="Garamond"/>
                          <w:sz w:val="18"/>
                        </w:rPr>
                      </w:pPr>
                      <w:bookmarkStart w:id="5" w:name="_Hlk482297028"/>
                      <w:bookmarkEnd w:id="5"/>
                      <w:r w:rsidRPr="00052E17">
                        <w:rPr>
                          <w:rFonts w:ascii="Garamond" w:hAnsi="Garamond"/>
                          <w:sz w:val="18"/>
                        </w:rPr>
                        <w:t>Revista Digital dos Programas de</w:t>
                      </w:r>
                    </w:p>
                    <w:p w14:paraId="069A9C6A" w14:textId="77777777" w:rsidR="00D10792" w:rsidRPr="00052E17" w:rsidRDefault="00D10792" w:rsidP="001D3766">
                      <w:pPr>
                        <w:spacing w:after="0" w:line="240" w:lineRule="auto"/>
                        <w:jc w:val="right"/>
                        <w:rPr>
                          <w:rFonts w:ascii="Garamond" w:hAnsi="Garamond"/>
                          <w:sz w:val="18"/>
                        </w:rPr>
                      </w:pPr>
                      <w:r w:rsidRPr="00052E17">
                        <w:rPr>
                          <w:rFonts w:ascii="Garamond" w:hAnsi="Garamond"/>
                          <w:sz w:val="18"/>
                        </w:rPr>
                        <w:t>Pós-Graduação do Departamento de Letras e Artes da UEFS</w:t>
                      </w:r>
                    </w:p>
                    <w:p w14:paraId="746F3086" w14:textId="6218E852" w:rsidR="00D10792" w:rsidRPr="00052E17" w:rsidRDefault="00D10792" w:rsidP="001D3766">
                      <w:pPr>
                        <w:spacing w:after="0" w:line="240" w:lineRule="auto"/>
                        <w:jc w:val="right"/>
                        <w:rPr>
                          <w:rFonts w:ascii="Garamond" w:hAnsi="Garamond"/>
                          <w:sz w:val="18"/>
                        </w:rPr>
                      </w:pPr>
                      <w:r w:rsidRPr="00052E17">
                        <w:rPr>
                          <w:rFonts w:ascii="Garamond" w:hAnsi="Garamond"/>
                          <w:sz w:val="18"/>
                        </w:rPr>
                        <w:t xml:space="preserve">Feira de Santana, v. </w:t>
                      </w:r>
                      <w:r w:rsidR="00057AD4">
                        <w:rPr>
                          <w:rFonts w:ascii="Garamond" w:hAnsi="Garamond"/>
                          <w:sz w:val="18"/>
                        </w:rPr>
                        <w:t>26</w:t>
                      </w:r>
                      <w:r w:rsidRPr="00052E17">
                        <w:rPr>
                          <w:rFonts w:ascii="Garamond" w:hAnsi="Garamond"/>
                          <w:sz w:val="18"/>
                        </w:rPr>
                        <w:t xml:space="preserve">, n. </w:t>
                      </w:r>
                      <w:r w:rsidR="00057AD4">
                        <w:rPr>
                          <w:rFonts w:ascii="Garamond" w:hAnsi="Garamond"/>
                          <w:sz w:val="18"/>
                        </w:rPr>
                        <w:t>2</w:t>
                      </w:r>
                      <w:r w:rsidRPr="00052E17">
                        <w:rPr>
                          <w:rFonts w:ascii="Garamond" w:hAnsi="Garamond"/>
                          <w:sz w:val="18"/>
                        </w:rPr>
                        <w:t xml:space="preserve">, p. </w:t>
                      </w:r>
                      <w:r w:rsidR="00C91F5C">
                        <w:rPr>
                          <w:rFonts w:ascii="Garamond" w:hAnsi="Garamond"/>
                          <w:sz w:val="18"/>
                        </w:rPr>
                        <w:t>47-60,</w:t>
                      </w:r>
                      <w:r w:rsidR="0070612C">
                        <w:rPr>
                          <w:rFonts w:ascii="Garamond" w:hAnsi="Garamond"/>
                          <w:sz w:val="18"/>
                        </w:rPr>
                        <w:t xml:space="preserve"> </w:t>
                      </w:r>
                      <w:r w:rsidR="00C91F5C">
                        <w:rPr>
                          <w:rFonts w:ascii="Garamond" w:hAnsi="Garamond"/>
                          <w:sz w:val="18"/>
                        </w:rPr>
                        <w:t xml:space="preserve">dezembro de </w:t>
                      </w:r>
                      <w:r w:rsidR="00DF31EF">
                        <w:rPr>
                          <w:rFonts w:ascii="Garamond" w:hAnsi="Garamond"/>
                          <w:sz w:val="18"/>
                        </w:rPr>
                        <w:t>20</w:t>
                      </w:r>
                      <w:r w:rsidR="00057AD4">
                        <w:rPr>
                          <w:rFonts w:ascii="Garamond" w:hAnsi="Garamond"/>
                          <w:sz w:val="18"/>
                        </w:rPr>
                        <w:t>2</w:t>
                      </w:r>
                      <w:r w:rsidR="00C91F5C">
                        <w:rPr>
                          <w:rFonts w:ascii="Garamond" w:hAnsi="Garamond"/>
                          <w:sz w:val="18"/>
                        </w:rPr>
                        <w:t>5</w:t>
                      </w:r>
                    </w:p>
                    <w:p w14:paraId="68A57059" w14:textId="77777777" w:rsidR="00D10792" w:rsidRPr="00106A1C" w:rsidRDefault="00D10792" w:rsidP="001D3766">
                      <w:pPr>
                        <w:spacing w:after="0" w:line="240" w:lineRule="auto"/>
                        <w:jc w:val="right"/>
                        <w:rPr>
                          <w:rFonts w:ascii="Garamond" w:hAnsi="Garamond"/>
                          <w:sz w:val="10"/>
                        </w:rPr>
                      </w:pPr>
                    </w:p>
                    <w:p w14:paraId="2DD40749" w14:textId="77777777" w:rsidR="003239BC" w:rsidRPr="003239BC" w:rsidRDefault="003239BC" w:rsidP="001D3766">
                      <w:pPr>
                        <w:spacing w:after="0" w:line="240" w:lineRule="auto"/>
                        <w:jc w:val="right"/>
                        <w:rPr>
                          <w:rFonts w:ascii="Garamond" w:hAnsi="Garamond"/>
                          <w:color w:val="670001"/>
                          <w:sz w:val="8"/>
                        </w:rPr>
                      </w:pPr>
                    </w:p>
                    <w:p w14:paraId="3A284626" w14:textId="77777777" w:rsidR="00326EAA" w:rsidRPr="00C87D17" w:rsidRDefault="00326EAA" w:rsidP="00326EAA">
                      <w:pPr>
                        <w:spacing w:after="0"/>
                        <w:jc w:val="right"/>
                        <w:rPr>
                          <w:rFonts w:ascii="Garamond" w:hAnsi="Garamond"/>
                          <w:bCs/>
                          <w:color w:val="670001"/>
                          <w:sz w:val="18"/>
                          <w:szCs w:val="40"/>
                        </w:rPr>
                      </w:pPr>
                      <w:r w:rsidRPr="00C87D17">
                        <w:rPr>
                          <w:rFonts w:ascii="Garamond" w:hAnsi="Garamond"/>
                          <w:bCs/>
                          <w:color w:val="670001"/>
                          <w:sz w:val="18"/>
                          <w:szCs w:val="40"/>
                        </w:rPr>
                        <w:t>http://periodicos.uefs.br/index.php/acordasletras/index</w:t>
                      </w:r>
                    </w:p>
                    <w:p w14:paraId="3617F659" w14:textId="520769F3" w:rsidR="00326EAA" w:rsidRPr="00C87D17" w:rsidRDefault="00326EAA" w:rsidP="00326EAA">
                      <w:pPr>
                        <w:spacing w:after="0"/>
                        <w:jc w:val="right"/>
                        <w:rPr>
                          <w:rFonts w:ascii="Garamond" w:hAnsi="Garamond"/>
                          <w:bCs/>
                          <w:color w:val="670001"/>
                          <w:sz w:val="18"/>
                          <w:szCs w:val="40"/>
                        </w:rPr>
                      </w:pPr>
                      <w:r w:rsidRPr="00326EAA">
                        <w:rPr>
                          <w:rFonts w:ascii="Garamond" w:hAnsi="Garamond"/>
                          <w:bCs/>
                          <w:color w:val="304C6A"/>
                          <w:sz w:val="18"/>
                          <w:szCs w:val="40"/>
                        </w:rPr>
                        <w:t xml:space="preserve">     </w:t>
                      </w:r>
                      <w:r w:rsidR="00C91F5C" w:rsidRPr="00C91F5C">
                        <w:rPr>
                          <w:rFonts w:ascii="Garamond" w:hAnsi="Garamond"/>
                          <w:bCs/>
                          <w:color w:val="670001"/>
                          <w:sz w:val="18"/>
                          <w:szCs w:val="40"/>
                        </w:rPr>
                        <w:t>10.13102/</w:t>
                      </w:r>
                      <w:proofErr w:type="gramStart"/>
                      <w:r w:rsidR="00C91F5C" w:rsidRPr="00C91F5C">
                        <w:rPr>
                          <w:rFonts w:ascii="Garamond" w:hAnsi="Garamond"/>
                          <w:bCs/>
                          <w:color w:val="670001"/>
                          <w:sz w:val="18"/>
                          <w:szCs w:val="40"/>
                        </w:rPr>
                        <w:t>cl.v</w:t>
                      </w:r>
                      <w:proofErr w:type="gramEnd"/>
                      <w:r w:rsidR="00C91F5C" w:rsidRPr="00C91F5C">
                        <w:rPr>
                          <w:rFonts w:ascii="Garamond" w:hAnsi="Garamond"/>
                          <w:bCs/>
                          <w:color w:val="670001"/>
                          <w:sz w:val="18"/>
                          <w:szCs w:val="40"/>
                        </w:rPr>
                        <w:t>26i2.11951</w:t>
                      </w:r>
                    </w:p>
                    <w:p w14:paraId="5052864E" w14:textId="77777777" w:rsidR="00DF31EF" w:rsidRPr="005D4A5C" w:rsidRDefault="00DF31EF" w:rsidP="00DF31EF">
                      <w:pPr>
                        <w:spacing w:after="0"/>
                        <w:jc w:val="right"/>
                        <w:rPr>
                          <w:rFonts w:ascii="Garamond" w:hAnsi="Garamond"/>
                          <w:b/>
                          <w:color w:val="FFFFFF" w:themeColor="background1"/>
                          <w:sz w:val="18"/>
                        </w:rPr>
                      </w:pPr>
                      <w:r w:rsidRPr="00C87D17">
                        <w:rPr>
                          <w:rFonts w:ascii="Garamond" w:hAnsi="Garamond"/>
                          <w:b/>
                          <w:color w:val="FFFFFF" w:themeColor="background1"/>
                          <w:sz w:val="18"/>
                        </w:rPr>
                        <w:t>ISSN 2594-9675</w:t>
                      </w:r>
                    </w:p>
                    <w:p w14:paraId="08F72D3D" w14:textId="77777777" w:rsidR="00D10792" w:rsidRPr="005D4A5C" w:rsidRDefault="00D10792" w:rsidP="00623F9A">
                      <w:pPr>
                        <w:spacing w:after="0"/>
                        <w:jc w:val="right"/>
                        <w:rPr>
                          <w:rFonts w:ascii="Garamond" w:hAnsi="Garamond"/>
                          <w:b/>
                          <w:color w:val="FFFFFF" w:themeColor="background1"/>
                          <w:sz w:val="18"/>
                        </w:rPr>
                      </w:pPr>
                    </w:p>
                    <w:p w14:paraId="0D8F3AE8" w14:textId="77777777" w:rsidR="00D10792" w:rsidRPr="00052E17" w:rsidRDefault="00D10792" w:rsidP="00D10792">
                      <w:pPr>
                        <w:spacing w:after="0"/>
                        <w:jc w:val="both"/>
                        <w:rPr>
                          <w:rFonts w:ascii="Garamond" w:hAnsi="Garamond"/>
                          <w:i/>
                          <w:color w:val="670001"/>
                          <w:sz w:val="18"/>
                        </w:rPr>
                      </w:pPr>
                    </w:p>
                  </w:txbxContent>
                </v:textbox>
                <w10:wrap anchory="page"/>
              </v:shape>
            </w:pict>
          </mc:Fallback>
        </mc:AlternateContent>
      </w:r>
      <w:r w:rsidR="001D03E1" w:rsidRPr="001A6FE3">
        <w:rPr>
          <w:rFonts w:ascii="Garamond" w:hAnsi="Garamond"/>
          <w:noProof/>
          <w:lang w:eastAsia="pt-BR"/>
        </w:rPr>
        <mc:AlternateContent>
          <mc:Choice Requires="wps">
            <w:drawing>
              <wp:anchor distT="0" distB="0" distL="114300" distR="114300" simplePos="0" relativeHeight="251634688" behindDoc="0" locked="0" layoutInCell="1" allowOverlap="1" wp14:anchorId="0C2A2D92" wp14:editId="4DDD4EF5">
                <wp:simplePos x="0" y="0"/>
                <wp:positionH relativeFrom="column">
                  <wp:posOffset>-1175385</wp:posOffset>
                </wp:positionH>
                <wp:positionV relativeFrom="paragraph">
                  <wp:posOffset>-1177290</wp:posOffset>
                </wp:positionV>
                <wp:extent cx="3072765" cy="1102995"/>
                <wp:effectExtent l="0" t="0" r="0" b="190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1102995"/>
                        </a:xfrm>
                        <a:prstGeom prst="rect">
                          <a:avLst/>
                        </a:prstGeom>
                        <a:solidFill>
                          <a:srgbClr val="670001"/>
                        </a:solidFill>
                        <a:ln>
                          <a:noFill/>
                        </a:ln>
                        <a:effectLst/>
                      </wps:spPr>
                      <wps:txbx>
                        <w:txbxContent>
                          <w:p w14:paraId="2E75BEE0" w14:textId="77777777" w:rsidR="00623F9A" w:rsidRDefault="00623F9A" w:rsidP="00623F9A">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C2A2D92" id="Retângulo 19" o:spid="_x0000_s1027" style="position:absolute;left:0;text-align:left;margin-left:-92.55pt;margin-top:-92.7pt;width:241.95pt;height:86.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" fillcolor="#670001" stroked="f">
                <v:textbox inset="2.88pt,2.88pt,2.88pt,2.88pt">
                  <w:txbxContent>
                    <w:p w14:paraId="2E75BEE0" w14:textId="77777777" w:rsidR="00623F9A" w:rsidRDefault="00623F9A" w:rsidP="00623F9A">
                      <w:pPr>
                        <w:jc w:val="center"/>
                      </w:pPr>
                    </w:p>
                  </w:txbxContent>
                </v:textbox>
              </v:rect>
            </w:pict>
          </mc:Fallback>
        </mc:AlternateContent>
      </w:r>
      <w:r w:rsidR="00623F9A" w:rsidRPr="001A6FE3">
        <w:rPr>
          <w:rFonts w:ascii="Garamond" w:hAnsi="Garamond"/>
          <w:noProof/>
          <w:lang w:eastAsia="pt-BR"/>
        </w:rPr>
        <w:drawing>
          <wp:anchor distT="0" distB="0" distL="114300" distR="114300" simplePos="0" relativeHeight="251637760" behindDoc="0" locked="0" layoutInCell="1" allowOverlap="1" wp14:anchorId="5CDC1FA9" wp14:editId="3E2AEEF0">
            <wp:simplePos x="0" y="0"/>
            <wp:positionH relativeFrom="column">
              <wp:posOffset>581899</wp:posOffset>
            </wp:positionH>
            <wp:positionV relativeFrom="paragraph">
              <wp:posOffset>-977490</wp:posOffset>
            </wp:positionV>
            <wp:extent cx="1205694" cy="760530"/>
            <wp:effectExtent l="0" t="0" r="0" b="1905"/>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a:picLocks noChangeAspect="1"/>
                    </pic:cNvPicPr>
                  </pic:nvPicPr>
                  <pic:blipFill>
                    <a:blip r:embed="rId13" cstate="print">
                      <a:extLst>
                        <a:ext uri="{BEBA8EAE-BF5A-486C-A8C5-ECC9F3942E4B}">
                          <a14:imgProps xmlns:a14="http://schemas.microsoft.com/office/drawing/2010/main">
                            <a14:imgLayer r:embed="rId14">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205694" cy="760530"/>
                    </a:xfrm>
                    <a:prstGeom prst="rect">
                      <a:avLst/>
                    </a:prstGeom>
                  </pic:spPr>
                </pic:pic>
              </a:graphicData>
            </a:graphic>
          </wp:anchor>
        </w:drawing>
      </w:r>
      <w:r w:rsidR="001D03E1" w:rsidRPr="001A6FE3">
        <w:rPr>
          <w:rFonts w:ascii="Garamond" w:hAnsi="Garamond"/>
          <w:noProof/>
          <w:lang w:eastAsia="pt-BR"/>
        </w:rPr>
        <mc:AlternateContent>
          <mc:Choice Requires="wps">
            <w:drawing>
              <wp:anchor distT="4294967294" distB="4294967294" distL="114300" distR="114300" simplePos="0" relativeHeight="251640832" behindDoc="0" locked="0" layoutInCell="1" allowOverlap="1" wp14:anchorId="2FD23A0A" wp14:editId="7D837132">
                <wp:simplePos x="0" y="0"/>
                <wp:positionH relativeFrom="column">
                  <wp:posOffset>2113280</wp:posOffset>
                </wp:positionH>
                <wp:positionV relativeFrom="paragraph">
                  <wp:posOffset>-563246</wp:posOffset>
                </wp:positionV>
                <wp:extent cx="3202940" cy="0"/>
                <wp:effectExtent l="0" t="0" r="0" b="0"/>
                <wp:wrapNone/>
                <wp:docPr id="22" name="Conector re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02940" cy="0"/>
                        </a:xfrm>
                        <a:prstGeom prst="line">
                          <a:avLst/>
                        </a:prstGeom>
                        <a:solidFill>
                          <a:srgbClr val="304C6A"/>
                        </a:solidFill>
                        <a:ln w="9525">
                          <a:solidFill>
                            <a:srgbClr val="304C6A"/>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198FD8B" id="Conector reto 22" o:spid="_x0000_s1026" style="position:absolute;flip:x;z-index:251640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6.4pt,-44.35pt" to="418.6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" filled="t" fillcolor="#304c6a" strokecolor="#304c6a">
                <v:stroke joinstyle="miter"/>
                <v:shadow color="black [0]"/>
                <o:lock v:ext="edit" shapetype="f"/>
              </v:line>
            </w:pict>
          </mc:Fallback>
        </mc:AlternateContent>
      </w:r>
      <w:bookmarkStart w:id="6" w:name="_Hlk481928835"/>
      <w:bookmarkStart w:id="7" w:name="_Hlk481925563"/>
      <w:bookmarkStart w:id="8" w:name="_Hlk482043606"/>
      <w:bookmarkStart w:id="9" w:name="_Hlk481924009"/>
      <w:bookmarkStart w:id="10" w:name="_Hlk481924137"/>
      <w:bookmarkStart w:id="11" w:name="_Hlk481924648"/>
      <w:bookmarkStart w:id="12" w:name="_Hlk481925532"/>
      <w:bookmarkStart w:id="13" w:name="_Hlk481926421"/>
      <w:bookmarkStart w:id="14" w:name="_Hlk481926875"/>
      <w:bookmarkStart w:id="15" w:name="_Hlk481927220"/>
      <w:bookmarkStart w:id="16" w:name="_Hlk481928710"/>
      <w:bookmarkStart w:id="17" w:name="_Hlk481924133"/>
      <w:bookmarkStart w:id="18" w:name="_Hlk481924457"/>
      <w:bookmarkStart w:id="19" w:name="_Hlk481929254"/>
      <w:bookmarkStart w:id="20" w:name="_Hlk482043589"/>
      <w:bookmarkStart w:id="21" w:name="_Hlk482296978"/>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0457A24" w14:textId="77777777" w:rsidR="00C86C4E" w:rsidRPr="001A6FE3" w:rsidRDefault="00C86C4E" w:rsidP="00C91F5C">
      <w:pPr>
        <w:keepNext/>
        <w:keepLines/>
        <w:pBdr>
          <w:top w:val="nil"/>
          <w:left w:val="nil"/>
          <w:bottom w:val="nil"/>
          <w:right w:val="nil"/>
          <w:between w:val="nil"/>
        </w:pBdr>
        <w:spacing w:after="0" w:line="240" w:lineRule="auto"/>
        <w:ind w:right="-280"/>
        <w:jc w:val="center"/>
        <w:rPr>
          <w:rFonts w:ascii="Garamond" w:eastAsia="EB Garamond" w:hAnsi="Garamond" w:cs="EB Garamond"/>
          <w:b/>
          <w:color w:val="000000"/>
          <w:sz w:val="34"/>
          <w:szCs w:val="34"/>
        </w:rPr>
      </w:pPr>
      <w:bookmarkStart w:id="22" w:name="_Toc89250025"/>
      <w:bookmarkStart w:id="23" w:name="_heading=h.2xcytpi" w:colFirst="0" w:colLast="0"/>
      <w:bookmarkEnd w:id="22"/>
      <w:bookmarkEnd w:id="23"/>
      <w:r w:rsidRPr="001A6FE3">
        <w:rPr>
          <w:rFonts w:ascii="Garamond" w:eastAsia="EB Garamond" w:hAnsi="Garamond" w:cs="EB Garamond"/>
          <w:b/>
          <w:color w:val="000000"/>
          <w:sz w:val="34"/>
          <w:szCs w:val="34"/>
        </w:rPr>
        <w:t>A trajetória da viúva heroica: silêncios, luto e protesto na ditadura chilena</w:t>
      </w:r>
    </w:p>
    <w:p w14:paraId="55F57AD5" w14:textId="77777777" w:rsidR="00297AC6" w:rsidRPr="001A6FE3" w:rsidRDefault="00297AC6" w:rsidP="00C91F5C">
      <w:pPr>
        <w:pStyle w:val="HTMLpr-formatado"/>
        <w:jc w:val="center"/>
        <w:rPr>
          <w:rFonts w:ascii="Garamond" w:hAnsi="Garamond" w:cs="Garamond"/>
          <w:i/>
          <w:iCs/>
          <w:sz w:val="28"/>
          <w:szCs w:val="28"/>
        </w:rPr>
      </w:pPr>
    </w:p>
    <w:p w14:paraId="1D79605A" w14:textId="77777777" w:rsidR="00C86C4E" w:rsidRPr="00C91F5C" w:rsidRDefault="00C86C4E"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center"/>
        <w:rPr>
          <w:rFonts w:ascii="Garamond" w:eastAsia="EB Garamond" w:hAnsi="Garamond" w:cs="EB Garamond"/>
          <w:i/>
          <w:sz w:val="28"/>
          <w:szCs w:val="28"/>
          <w:lang w:val="en-US"/>
        </w:rPr>
      </w:pPr>
      <w:r w:rsidRPr="00C91F5C">
        <w:rPr>
          <w:rFonts w:ascii="Garamond" w:eastAsia="EB Garamond" w:hAnsi="Garamond" w:cs="EB Garamond"/>
          <w:i/>
          <w:sz w:val="28"/>
          <w:szCs w:val="28"/>
          <w:lang w:val="en-US"/>
        </w:rPr>
        <w:t>The Trajectory of the Heroic Widow: Silences, Mourning, and Protest under the Chilean Dictatorship</w:t>
      </w:r>
    </w:p>
    <w:p w14:paraId="49EF1C71" w14:textId="77777777" w:rsidR="00640C24" w:rsidRPr="00C91F5C" w:rsidRDefault="00640C24" w:rsidP="00C91F5C">
      <w:pPr>
        <w:spacing w:after="0" w:line="240" w:lineRule="auto"/>
        <w:jc w:val="right"/>
        <w:rPr>
          <w:rFonts w:ascii="Garamond" w:hAnsi="Garamond"/>
          <w:i/>
          <w:iCs/>
          <w:lang w:val="en-US"/>
        </w:rPr>
      </w:pPr>
    </w:p>
    <w:p w14:paraId="14C6C5A1" w14:textId="5C0066C2" w:rsidR="009C2B95" w:rsidRPr="001A6FE3" w:rsidRDefault="0049633E"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102"/>
        <w:jc w:val="right"/>
        <w:rPr>
          <w:rFonts w:ascii="Garamond" w:eastAsia="EB Garamond" w:hAnsi="Garamond" w:cs="EB Garamond"/>
        </w:rPr>
      </w:pPr>
      <w:r w:rsidRPr="001A6FE3">
        <w:rPr>
          <w:rFonts w:ascii="Garamond" w:eastAsia="EB Garamond" w:hAnsi="Garamond" w:cs="EB Garamond"/>
        </w:rPr>
        <w:t>Evandro Figueiredo Candido</w:t>
      </w:r>
      <w:r w:rsidR="007B294F" w:rsidRPr="001A6FE3">
        <w:rPr>
          <w:rStyle w:val="Refdenotaderodap"/>
          <w:rFonts w:ascii="Garamond" w:hAnsi="Garamond" w:cs="Arial"/>
          <w:bCs/>
          <w:lang w:val="en-US"/>
        </w:rPr>
        <w:footnoteReference w:customMarkFollows="1" w:id="1"/>
        <w:sym w:font="Symbol" w:char="F02A"/>
      </w:r>
      <w:r w:rsidR="007F2733" w:rsidRPr="00C91F5C">
        <w:rPr>
          <w:rFonts w:ascii="Garamond" w:hAnsi="Garamond" w:cs="Arial"/>
          <w:bCs/>
        </w:rPr>
        <w:br/>
      </w:r>
      <w:r w:rsidRPr="001A6FE3">
        <w:rPr>
          <w:rFonts w:ascii="Garamond" w:eastAsia="EB Garamond" w:hAnsi="Garamond" w:cs="EB Garamond"/>
          <w:i/>
          <w:iCs/>
        </w:rPr>
        <w:t>Universidade Federal de Lavras</w:t>
      </w:r>
    </w:p>
    <w:p w14:paraId="04B5570C" w14:textId="21C4AFB7" w:rsidR="009C2B95" w:rsidRPr="001A6FE3" w:rsidRDefault="0049633E" w:rsidP="00C91F5C">
      <w:pPr>
        <w:spacing w:after="0" w:line="240" w:lineRule="auto"/>
        <w:jc w:val="right"/>
        <w:rPr>
          <w:rFonts w:ascii="Garamond" w:hAnsi="Garamond"/>
        </w:rPr>
      </w:pPr>
      <w:r w:rsidRPr="001A6FE3">
        <w:rPr>
          <w:rFonts w:ascii="Garamond" w:hAnsi="Garamond"/>
        </w:rPr>
        <w:t>Lavras, Minas Gerais</w:t>
      </w:r>
      <w:r w:rsidR="009C2B95" w:rsidRPr="001A6FE3">
        <w:rPr>
          <w:rFonts w:ascii="Garamond" w:hAnsi="Garamond"/>
        </w:rPr>
        <w:t>, Brasil</w:t>
      </w:r>
    </w:p>
    <w:p w14:paraId="62336B5C" w14:textId="77777777" w:rsidR="007F2733" w:rsidRPr="001A6FE3" w:rsidRDefault="007F2733" w:rsidP="00C91F5C">
      <w:pPr>
        <w:spacing w:after="0" w:line="240" w:lineRule="auto"/>
        <w:rPr>
          <w:rFonts w:ascii="Garamond" w:hAnsi="Garamond" w:cs="Garamond"/>
        </w:rPr>
      </w:pPr>
    </w:p>
    <w:p w14:paraId="3C97D6E8" w14:textId="77777777" w:rsidR="00057AD4" w:rsidRPr="001A6FE3" w:rsidRDefault="00057AD4" w:rsidP="00C91F5C">
      <w:pPr>
        <w:spacing w:after="0" w:line="240" w:lineRule="auto"/>
        <w:jc w:val="center"/>
        <w:rPr>
          <w:rFonts w:ascii="Garamond" w:eastAsiaTheme="minorHAnsi" w:hAnsi="Garamond"/>
          <w:i/>
        </w:rPr>
      </w:pPr>
    </w:p>
    <w:p w14:paraId="44118F4E" w14:textId="0E6D014D" w:rsidR="003D127C" w:rsidRPr="001A6FE3" w:rsidRDefault="00CE7AEC" w:rsidP="00C91F5C">
      <w:pPr>
        <w:spacing w:after="0" w:line="240" w:lineRule="auto"/>
        <w:ind w:left="567"/>
        <w:jc w:val="both"/>
        <w:rPr>
          <w:rFonts w:ascii="Garamond" w:hAnsi="Garamond"/>
          <w:color w:val="000000"/>
          <w:sz w:val="18"/>
          <w:szCs w:val="18"/>
        </w:rPr>
      </w:pPr>
      <w:r w:rsidRPr="001A6FE3">
        <w:rPr>
          <w:rFonts w:ascii="Garamond" w:hAnsi="Garamond"/>
          <w:b/>
          <w:bCs/>
          <w:color w:val="670001"/>
          <w:sz w:val="18"/>
          <w:szCs w:val="40"/>
        </w:rPr>
        <w:t>Resumo:</w:t>
      </w:r>
      <w:r w:rsidR="005F1AEA" w:rsidRPr="001A6FE3">
        <w:rPr>
          <w:rFonts w:ascii="Garamond" w:hAnsi="Garamond"/>
          <w:b/>
          <w:color w:val="670001"/>
          <w:sz w:val="18"/>
          <w:szCs w:val="18"/>
        </w:rPr>
        <w:t xml:space="preserve"> </w:t>
      </w:r>
      <w:r w:rsidR="00385940" w:rsidRPr="001A6FE3">
        <w:rPr>
          <w:rFonts w:ascii="Garamond" w:hAnsi="Garamond" w:cs="Arial"/>
          <w:sz w:val="18"/>
          <w:szCs w:val="18"/>
        </w:rPr>
        <w:t xml:space="preserve">Este artigo analisa a obra da cineasta, escritora e militante chilena Carmen Castillo, cuja produção é atravessada pelo exílio, pela repressão das ditaduras latino-americanas e pelas lutas revolucionárias. Sua criação artística articula vivências pessoais a acontecimentos históricos, entrelaçando memória, história e resistência. O foco da análise é o livro Santiago-Paris: </w:t>
      </w:r>
      <w:proofErr w:type="spellStart"/>
      <w:r w:rsidR="00385940" w:rsidRPr="001A6FE3">
        <w:rPr>
          <w:rFonts w:ascii="Garamond" w:hAnsi="Garamond" w:cs="Arial"/>
          <w:sz w:val="18"/>
          <w:szCs w:val="18"/>
        </w:rPr>
        <w:t>le</w:t>
      </w:r>
      <w:proofErr w:type="spellEnd"/>
      <w:r w:rsidR="00385940" w:rsidRPr="001A6FE3">
        <w:rPr>
          <w:rFonts w:ascii="Garamond" w:hAnsi="Garamond" w:cs="Arial"/>
          <w:sz w:val="18"/>
          <w:szCs w:val="18"/>
        </w:rPr>
        <w:t xml:space="preserve"> </w:t>
      </w:r>
      <w:proofErr w:type="spellStart"/>
      <w:r w:rsidR="00385940" w:rsidRPr="001A6FE3">
        <w:rPr>
          <w:rFonts w:ascii="Garamond" w:hAnsi="Garamond" w:cs="Arial"/>
          <w:sz w:val="18"/>
          <w:szCs w:val="18"/>
        </w:rPr>
        <w:t>vol</w:t>
      </w:r>
      <w:proofErr w:type="spellEnd"/>
      <w:r w:rsidR="00385940" w:rsidRPr="001A6FE3">
        <w:rPr>
          <w:rFonts w:ascii="Garamond" w:hAnsi="Garamond" w:cs="Arial"/>
          <w:sz w:val="18"/>
          <w:szCs w:val="18"/>
        </w:rPr>
        <w:t xml:space="preserve"> de </w:t>
      </w:r>
      <w:proofErr w:type="spellStart"/>
      <w:r w:rsidR="00385940" w:rsidRPr="001A6FE3">
        <w:rPr>
          <w:rFonts w:ascii="Garamond" w:hAnsi="Garamond" w:cs="Arial"/>
          <w:sz w:val="18"/>
          <w:szCs w:val="18"/>
        </w:rPr>
        <w:t>la</w:t>
      </w:r>
      <w:proofErr w:type="spellEnd"/>
      <w:r w:rsidR="00385940" w:rsidRPr="001A6FE3">
        <w:rPr>
          <w:rFonts w:ascii="Garamond" w:hAnsi="Garamond" w:cs="Arial"/>
          <w:sz w:val="18"/>
          <w:szCs w:val="18"/>
        </w:rPr>
        <w:t xml:space="preserve"> </w:t>
      </w:r>
      <w:proofErr w:type="spellStart"/>
      <w:r w:rsidR="00385940" w:rsidRPr="001A6FE3">
        <w:rPr>
          <w:rFonts w:ascii="Garamond" w:hAnsi="Garamond" w:cs="Arial"/>
          <w:sz w:val="18"/>
          <w:szCs w:val="18"/>
        </w:rPr>
        <w:t>mémoire</w:t>
      </w:r>
      <w:proofErr w:type="spellEnd"/>
      <w:r w:rsidR="00385940" w:rsidRPr="001A6FE3">
        <w:rPr>
          <w:rFonts w:ascii="Garamond" w:hAnsi="Garamond" w:cs="Arial"/>
          <w:sz w:val="18"/>
          <w:szCs w:val="18"/>
        </w:rPr>
        <w:t xml:space="preserve"> (2002) - Santiago-Paris: o voo da memória, escrito por Carmen em coautoria com sua mãe, Mónica Echeverría. Com forte caráter testemunhal, a obra alterna as vozes das autoras, mesclando a trajetória familiar aos eventos políticos do Chile no século XX. Destaca-se especialmente o capítulo “</w:t>
      </w:r>
      <w:proofErr w:type="spellStart"/>
      <w:r w:rsidR="00385940" w:rsidRPr="001A6FE3">
        <w:rPr>
          <w:rFonts w:ascii="Garamond" w:hAnsi="Garamond" w:cs="Arial"/>
          <w:sz w:val="18"/>
          <w:szCs w:val="18"/>
        </w:rPr>
        <w:t>Courir</w:t>
      </w:r>
      <w:proofErr w:type="spellEnd"/>
      <w:r w:rsidR="00385940" w:rsidRPr="001A6FE3">
        <w:rPr>
          <w:rFonts w:ascii="Garamond" w:hAnsi="Garamond" w:cs="Arial"/>
          <w:sz w:val="18"/>
          <w:szCs w:val="18"/>
        </w:rPr>
        <w:t xml:space="preserve"> </w:t>
      </w:r>
      <w:proofErr w:type="spellStart"/>
      <w:r w:rsidR="00385940" w:rsidRPr="001A6FE3">
        <w:rPr>
          <w:rFonts w:ascii="Garamond" w:hAnsi="Garamond" w:cs="Arial"/>
          <w:sz w:val="18"/>
          <w:szCs w:val="18"/>
        </w:rPr>
        <w:t>fut</w:t>
      </w:r>
      <w:proofErr w:type="spellEnd"/>
      <w:r w:rsidR="00385940" w:rsidRPr="001A6FE3">
        <w:rPr>
          <w:rFonts w:ascii="Garamond" w:hAnsi="Garamond" w:cs="Arial"/>
          <w:sz w:val="18"/>
          <w:szCs w:val="18"/>
        </w:rPr>
        <w:t xml:space="preserve"> </w:t>
      </w:r>
      <w:proofErr w:type="spellStart"/>
      <w:r w:rsidR="00385940" w:rsidRPr="001A6FE3">
        <w:rPr>
          <w:rFonts w:ascii="Garamond" w:hAnsi="Garamond" w:cs="Arial"/>
          <w:sz w:val="18"/>
          <w:szCs w:val="18"/>
        </w:rPr>
        <w:t>notre</w:t>
      </w:r>
      <w:proofErr w:type="spellEnd"/>
      <w:r w:rsidR="00385940" w:rsidRPr="001A6FE3">
        <w:rPr>
          <w:rFonts w:ascii="Garamond" w:hAnsi="Garamond" w:cs="Arial"/>
          <w:sz w:val="18"/>
          <w:szCs w:val="18"/>
        </w:rPr>
        <w:t xml:space="preserve"> </w:t>
      </w:r>
      <w:proofErr w:type="spellStart"/>
      <w:r w:rsidR="00385940" w:rsidRPr="001A6FE3">
        <w:rPr>
          <w:rFonts w:ascii="Garamond" w:hAnsi="Garamond" w:cs="Arial"/>
          <w:sz w:val="18"/>
          <w:szCs w:val="18"/>
        </w:rPr>
        <w:t>destin</w:t>
      </w:r>
      <w:proofErr w:type="spellEnd"/>
      <w:r w:rsidR="00385940" w:rsidRPr="001A6FE3">
        <w:rPr>
          <w:rFonts w:ascii="Garamond" w:hAnsi="Garamond" w:cs="Arial"/>
          <w:sz w:val="18"/>
          <w:szCs w:val="18"/>
        </w:rPr>
        <w:t>” - correr foi nosso destino -, que expõe os impactos emocionais da fuga de Carmen Castillo após a morte de seu companheiro, além de seu luto, seu exílio e sua condição de figura secundária diante de uma memória revolucionária que a silencia. A análise fundamenta-se em Didi-</w:t>
      </w:r>
      <w:proofErr w:type="spellStart"/>
      <w:r w:rsidR="00385940" w:rsidRPr="001A6FE3">
        <w:rPr>
          <w:rFonts w:ascii="Garamond" w:hAnsi="Garamond" w:cs="Arial"/>
          <w:sz w:val="18"/>
          <w:szCs w:val="18"/>
        </w:rPr>
        <w:t>Huberman</w:t>
      </w:r>
      <w:proofErr w:type="spellEnd"/>
      <w:r w:rsidR="00385940" w:rsidRPr="001A6FE3">
        <w:rPr>
          <w:rFonts w:ascii="Garamond" w:hAnsi="Garamond" w:cs="Arial"/>
          <w:sz w:val="18"/>
          <w:szCs w:val="18"/>
        </w:rPr>
        <w:t xml:space="preserve"> (2002), com a noção de resistência no luto; Rosa (2013), ao discutir o modelo universal do militante; Rollemberg (1999), com a ideia de exílio como espaço ambivalente; e Sarlo (2006), quanto à centralidade do testemunho em contextos ditatoriais. Dialoga-se, ainda com Costa (1980), cujo livro traz experiências femininas no exílio. O artigo sustenta que, apesar da dor e da perda, Carmen Castillo transforma o sofrimento em gesto político, fazendo do luto um ato de resistência e preservação da memória.</w:t>
      </w:r>
    </w:p>
    <w:p w14:paraId="582CFC14" w14:textId="77777777" w:rsidR="00057AD4" w:rsidRPr="001A6FE3" w:rsidRDefault="00057AD4" w:rsidP="00C91F5C">
      <w:pPr>
        <w:spacing w:after="0" w:line="240" w:lineRule="auto"/>
        <w:ind w:left="567"/>
        <w:rPr>
          <w:rFonts w:ascii="Garamond" w:hAnsi="Garamond"/>
          <w:b/>
          <w:bCs/>
          <w:color w:val="670001"/>
          <w:sz w:val="18"/>
          <w:szCs w:val="40"/>
        </w:rPr>
      </w:pPr>
    </w:p>
    <w:p w14:paraId="46B5DFFB" w14:textId="3F43BCF3" w:rsidR="005F1AEA" w:rsidRPr="00C91F5C" w:rsidRDefault="00CE7AEC" w:rsidP="00C91F5C">
      <w:pPr>
        <w:spacing w:after="0" w:line="240" w:lineRule="auto"/>
        <w:ind w:left="567"/>
        <w:rPr>
          <w:rFonts w:ascii="Garamond" w:hAnsi="Garamond" w:cs="Arial"/>
          <w:sz w:val="18"/>
          <w:szCs w:val="18"/>
          <w:lang w:val="en-US"/>
        </w:rPr>
      </w:pPr>
      <w:r w:rsidRPr="001A6FE3">
        <w:rPr>
          <w:rFonts w:ascii="Garamond" w:hAnsi="Garamond"/>
          <w:b/>
          <w:bCs/>
          <w:color w:val="670001"/>
          <w:sz w:val="18"/>
          <w:szCs w:val="40"/>
        </w:rPr>
        <w:t>Palavras-chave</w:t>
      </w:r>
      <w:r w:rsidR="005F1AEA" w:rsidRPr="001A6FE3">
        <w:rPr>
          <w:rFonts w:ascii="Garamond" w:hAnsi="Garamond"/>
          <w:b/>
          <w:color w:val="670001"/>
          <w:sz w:val="18"/>
          <w:szCs w:val="18"/>
        </w:rPr>
        <w:t xml:space="preserve">: </w:t>
      </w:r>
      <w:r w:rsidR="00385940" w:rsidRPr="001A6FE3">
        <w:rPr>
          <w:rFonts w:ascii="Garamond" w:eastAsia="Times New Roman" w:hAnsi="Garamond" w:cs="Arial"/>
          <w:bCs/>
          <w:sz w:val="18"/>
          <w:szCs w:val="18"/>
        </w:rPr>
        <w:t xml:space="preserve">Ditadura. Chile. Carmen Castillo. </w:t>
      </w:r>
      <w:proofErr w:type="spellStart"/>
      <w:r w:rsidR="00385940" w:rsidRPr="00C91F5C">
        <w:rPr>
          <w:rFonts w:ascii="Garamond" w:eastAsia="Times New Roman" w:hAnsi="Garamond" w:cs="Arial"/>
          <w:bCs/>
          <w:sz w:val="18"/>
          <w:szCs w:val="18"/>
          <w:lang w:val="en-US"/>
        </w:rPr>
        <w:t>Memória.Testemunho</w:t>
      </w:r>
      <w:proofErr w:type="spellEnd"/>
      <w:r w:rsidR="00385940" w:rsidRPr="00C91F5C">
        <w:rPr>
          <w:rFonts w:ascii="Garamond" w:eastAsia="Times New Roman" w:hAnsi="Garamond" w:cs="Arial"/>
          <w:bCs/>
          <w:sz w:val="18"/>
          <w:szCs w:val="18"/>
          <w:lang w:val="en-US"/>
        </w:rPr>
        <w:t>.</w:t>
      </w:r>
    </w:p>
    <w:p w14:paraId="110EAADB" w14:textId="77777777" w:rsidR="00267ED7" w:rsidRPr="00C91F5C" w:rsidRDefault="00267ED7" w:rsidP="00C91F5C">
      <w:pPr>
        <w:spacing w:after="0" w:line="240" w:lineRule="auto"/>
        <w:ind w:left="567"/>
        <w:rPr>
          <w:rFonts w:ascii="Garamond" w:hAnsi="Garamond"/>
          <w:szCs w:val="24"/>
          <w:lang w:val="en-US"/>
        </w:rPr>
      </w:pPr>
    </w:p>
    <w:p w14:paraId="69746C3E" w14:textId="017701E1" w:rsidR="007F2733" w:rsidRPr="00C91F5C" w:rsidRDefault="00CE7AEC" w:rsidP="00C91F5C">
      <w:pPr>
        <w:spacing w:after="0" w:line="240" w:lineRule="auto"/>
        <w:ind w:left="567"/>
        <w:jc w:val="both"/>
        <w:rPr>
          <w:rFonts w:ascii="Garamond" w:hAnsi="Garamond" w:cs="Arial"/>
          <w:sz w:val="18"/>
          <w:szCs w:val="18"/>
          <w:lang w:val="en-US"/>
        </w:rPr>
      </w:pPr>
      <w:r w:rsidRPr="001A6FE3">
        <w:rPr>
          <w:rFonts w:ascii="Garamond" w:hAnsi="Garamond"/>
          <w:b/>
          <w:bCs/>
          <w:color w:val="670001"/>
          <w:sz w:val="18"/>
          <w:szCs w:val="40"/>
          <w:lang w:val="en-US"/>
        </w:rPr>
        <w:t>Abstract:</w:t>
      </w:r>
      <w:r w:rsidR="00F42634" w:rsidRPr="001A6FE3">
        <w:rPr>
          <w:rFonts w:ascii="Garamond" w:hAnsi="Garamond"/>
          <w:b/>
          <w:bCs/>
          <w:color w:val="670001"/>
          <w:sz w:val="18"/>
          <w:szCs w:val="40"/>
          <w:lang w:val="en-US"/>
        </w:rPr>
        <w:t xml:space="preserve"> </w:t>
      </w:r>
      <w:r w:rsidR="00385940" w:rsidRPr="00C91F5C">
        <w:rPr>
          <w:rFonts w:ascii="Garamond" w:hAnsi="Garamond" w:cs="Arial"/>
          <w:sz w:val="18"/>
          <w:szCs w:val="18"/>
          <w:lang w:val="en-US"/>
        </w:rPr>
        <w:t xml:space="preserve">This article analyzes the work of Chilean filmmaker, writer, and activist Carmen Castillo, whose artistic production is shaped by exile, the repression of Latin American dictatorships, and revolutionary struggles. Her creative work intertwines personal experiences with historical events, weaving together memory, history, and resistance. The focus of the analysis is the book Santiago-Paris: le vol de la </w:t>
      </w:r>
      <w:proofErr w:type="spellStart"/>
      <w:r w:rsidR="00385940" w:rsidRPr="00C91F5C">
        <w:rPr>
          <w:rFonts w:ascii="Garamond" w:hAnsi="Garamond" w:cs="Arial"/>
          <w:sz w:val="18"/>
          <w:szCs w:val="18"/>
          <w:lang w:val="en-US"/>
        </w:rPr>
        <w:t>mémoire</w:t>
      </w:r>
      <w:proofErr w:type="spellEnd"/>
      <w:r w:rsidR="00385940" w:rsidRPr="00C91F5C">
        <w:rPr>
          <w:rFonts w:ascii="Garamond" w:hAnsi="Garamond" w:cs="Arial"/>
          <w:sz w:val="18"/>
          <w:szCs w:val="18"/>
          <w:lang w:val="en-US"/>
        </w:rPr>
        <w:t xml:space="preserve"> (2002) – Santiago-Paris: The Flight of Memory – written by Carmen in collaboration with her mother, Mónica </w:t>
      </w:r>
      <w:proofErr w:type="spellStart"/>
      <w:r w:rsidR="00385940" w:rsidRPr="00C91F5C">
        <w:rPr>
          <w:rFonts w:ascii="Garamond" w:hAnsi="Garamond" w:cs="Arial"/>
          <w:sz w:val="18"/>
          <w:szCs w:val="18"/>
          <w:lang w:val="en-US"/>
        </w:rPr>
        <w:t>Echeverría</w:t>
      </w:r>
      <w:proofErr w:type="spellEnd"/>
      <w:r w:rsidR="00385940" w:rsidRPr="00C91F5C">
        <w:rPr>
          <w:rFonts w:ascii="Garamond" w:hAnsi="Garamond" w:cs="Arial"/>
          <w:sz w:val="18"/>
          <w:szCs w:val="18"/>
          <w:lang w:val="en-US"/>
        </w:rPr>
        <w:t>. Strongly testimonial in nature, the book alternates between the voices of the two authors, merging family history with the political events that marked 20th-century Chile. Particularly noteworthy is the chapter “</w:t>
      </w:r>
      <w:proofErr w:type="spellStart"/>
      <w:r w:rsidR="00385940" w:rsidRPr="00C91F5C">
        <w:rPr>
          <w:rFonts w:ascii="Garamond" w:hAnsi="Garamond" w:cs="Arial"/>
          <w:sz w:val="18"/>
          <w:szCs w:val="18"/>
          <w:lang w:val="en-US"/>
        </w:rPr>
        <w:t>Courir</w:t>
      </w:r>
      <w:proofErr w:type="spellEnd"/>
      <w:r w:rsidR="00385940" w:rsidRPr="00C91F5C">
        <w:rPr>
          <w:rFonts w:ascii="Garamond" w:hAnsi="Garamond" w:cs="Arial"/>
          <w:sz w:val="18"/>
          <w:szCs w:val="18"/>
          <w:lang w:val="en-US"/>
        </w:rPr>
        <w:t xml:space="preserve"> </w:t>
      </w:r>
      <w:proofErr w:type="spellStart"/>
      <w:r w:rsidR="00385940" w:rsidRPr="00C91F5C">
        <w:rPr>
          <w:rFonts w:ascii="Garamond" w:hAnsi="Garamond" w:cs="Arial"/>
          <w:sz w:val="18"/>
          <w:szCs w:val="18"/>
          <w:lang w:val="en-US"/>
        </w:rPr>
        <w:t>fut</w:t>
      </w:r>
      <w:proofErr w:type="spellEnd"/>
      <w:r w:rsidR="00385940" w:rsidRPr="00C91F5C">
        <w:rPr>
          <w:rFonts w:ascii="Garamond" w:hAnsi="Garamond" w:cs="Arial"/>
          <w:sz w:val="18"/>
          <w:szCs w:val="18"/>
          <w:lang w:val="en-US"/>
        </w:rPr>
        <w:t xml:space="preserve"> </w:t>
      </w:r>
      <w:proofErr w:type="spellStart"/>
      <w:r w:rsidR="00385940" w:rsidRPr="00C91F5C">
        <w:rPr>
          <w:rFonts w:ascii="Garamond" w:hAnsi="Garamond" w:cs="Arial"/>
          <w:sz w:val="18"/>
          <w:szCs w:val="18"/>
          <w:lang w:val="en-US"/>
        </w:rPr>
        <w:t>notre</w:t>
      </w:r>
      <w:proofErr w:type="spellEnd"/>
      <w:r w:rsidR="00385940" w:rsidRPr="00C91F5C">
        <w:rPr>
          <w:rFonts w:ascii="Garamond" w:hAnsi="Garamond" w:cs="Arial"/>
          <w:sz w:val="18"/>
          <w:szCs w:val="18"/>
          <w:lang w:val="en-US"/>
        </w:rPr>
        <w:t xml:space="preserve"> </w:t>
      </w:r>
      <w:proofErr w:type="spellStart"/>
      <w:r w:rsidR="00385940" w:rsidRPr="00C91F5C">
        <w:rPr>
          <w:rFonts w:ascii="Garamond" w:hAnsi="Garamond" w:cs="Arial"/>
          <w:sz w:val="18"/>
          <w:szCs w:val="18"/>
          <w:lang w:val="en-US"/>
        </w:rPr>
        <w:t>destin</w:t>
      </w:r>
      <w:proofErr w:type="spellEnd"/>
      <w:r w:rsidR="00385940" w:rsidRPr="00C91F5C">
        <w:rPr>
          <w:rFonts w:ascii="Garamond" w:hAnsi="Garamond" w:cs="Arial"/>
          <w:sz w:val="18"/>
          <w:szCs w:val="18"/>
          <w:lang w:val="en-US"/>
        </w:rPr>
        <w:t xml:space="preserve">” – Running Was Our Destiny – which reveals the emotional impacts of Carmen Castillo’s escape following the death of her partner, as well as her mourning, her exile, and her position as a secondary figure within a revolutionary memory that silences her. The analysis draws on Didi-Huberman (2002), with the notion of resistance in mourning; Rosa (2013), in discussing the universal model of the militant; </w:t>
      </w:r>
      <w:proofErr w:type="spellStart"/>
      <w:r w:rsidR="00385940" w:rsidRPr="00C91F5C">
        <w:rPr>
          <w:rFonts w:ascii="Garamond" w:hAnsi="Garamond" w:cs="Arial"/>
          <w:sz w:val="18"/>
          <w:szCs w:val="18"/>
          <w:lang w:val="en-US"/>
        </w:rPr>
        <w:t>Rollemberg</w:t>
      </w:r>
      <w:proofErr w:type="spellEnd"/>
      <w:r w:rsidR="00385940" w:rsidRPr="00C91F5C">
        <w:rPr>
          <w:rFonts w:ascii="Garamond" w:hAnsi="Garamond" w:cs="Arial"/>
          <w:sz w:val="18"/>
          <w:szCs w:val="18"/>
          <w:lang w:val="en-US"/>
        </w:rPr>
        <w:t xml:space="preserve"> (1999), with the idea of exile as an ambivalent space; and </w:t>
      </w:r>
      <w:proofErr w:type="spellStart"/>
      <w:r w:rsidR="00385940" w:rsidRPr="00C91F5C">
        <w:rPr>
          <w:rFonts w:ascii="Garamond" w:hAnsi="Garamond" w:cs="Arial"/>
          <w:sz w:val="18"/>
          <w:szCs w:val="18"/>
          <w:lang w:val="en-US"/>
        </w:rPr>
        <w:t>Sarlo</w:t>
      </w:r>
      <w:proofErr w:type="spellEnd"/>
      <w:r w:rsidR="00385940" w:rsidRPr="00C91F5C">
        <w:rPr>
          <w:rFonts w:ascii="Garamond" w:hAnsi="Garamond" w:cs="Arial"/>
          <w:sz w:val="18"/>
          <w:szCs w:val="18"/>
          <w:lang w:val="en-US"/>
        </w:rPr>
        <w:t xml:space="preserve"> (2006), regarding the centrality of testimony in dictatorial contexts. It also engages with Costa (1980), whose work presents female experiences of exile. The article argues that, despite pain and loss, Carmen Castillo transforms suffering into a political gesture, turning mourning into an act of resistance and memory preservation.</w:t>
      </w:r>
    </w:p>
    <w:p w14:paraId="6F21A088" w14:textId="77777777" w:rsidR="00671FC6" w:rsidRPr="001A6FE3" w:rsidRDefault="00671FC6" w:rsidP="00C91F5C">
      <w:pPr>
        <w:spacing w:after="0" w:line="240" w:lineRule="auto"/>
        <w:ind w:left="567"/>
        <w:jc w:val="both"/>
        <w:rPr>
          <w:rFonts w:ascii="Garamond" w:hAnsi="Garamond" w:cs="Arial"/>
          <w:sz w:val="18"/>
          <w:szCs w:val="18"/>
          <w:lang w:val="en-US"/>
        </w:rPr>
      </w:pPr>
    </w:p>
    <w:p w14:paraId="431D741A" w14:textId="6F572BFC" w:rsidR="007F2733" w:rsidRDefault="00CE7AEC" w:rsidP="00C91F5C">
      <w:pPr>
        <w:spacing w:after="0" w:line="240" w:lineRule="auto"/>
        <w:ind w:left="567"/>
        <w:rPr>
          <w:rFonts w:ascii="Garamond" w:eastAsia="Times New Roman" w:hAnsi="Garamond" w:cs="Arial"/>
          <w:bCs/>
          <w:sz w:val="18"/>
          <w:szCs w:val="18"/>
          <w:lang w:val="en-US"/>
        </w:rPr>
      </w:pPr>
      <w:r w:rsidRPr="00C91F5C">
        <w:rPr>
          <w:rFonts w:ascii="Garamond" w:hAnsi="Garamond"/>
          <w:b/>
          <w:bCs/>
          <w:color w:val="670001"/>
          <w:sz w:val="18"/>
          <w:szCs w:val="40"/>
          <w:lang w:val="en-US"/>
        </w:rPr>
        <w:t>Keywords:</w:t>
      </w:r>
      <w:r w:rsidR="00F42634" w:rsidRPr="00C91F5C">
        <w:rPr>
          <w:rFonts w:ascii="Garamond" w:hAnsi="Garamond"/>
          <w:b/>
          <w:bCs/>
          <w:color w:val="670001"/>
          <w:sz w:val="18"/>
          <w:szCs w:val="40"/>
          <w:lang w:val="en-US"/>
        </w:rPr>
        <w:t xml:space="preserve"> </w:t>
      </w:r>
      <w:r w:rsidR="00385940" w:rsidRPr="001A6FE3">
        <w:rPr>
          <w:rFonts w:ascii="Garamond" w:eastAsia="Times New Roman" w:hAnsi="Garamond" w:cs="Arial"/>
          <w:bCs/>
          <w:sz w:val="18"/>
          <w:szCs w:val="18"/>
          <w:lang w:val="en-US"/>
        </w:rPr>
        <w:t>Dictatorship; Chile; Carmen Castillo; Memory; Testimony.</w:t>
      </w:r>
    </w:p>
    <w:p w14:paraId="7F6B82E5" w14:textId="77777777" w:rsidR="00C91F5C" w:rsidRDefault="00C91F5C" w:rsidP="00C91F5C">
      <w:pPr>
        <w:spacing w:after="0" w:line="240" w:lineRule="auto"/>
        <w:ind w:left="567"/>
        <w:rPr>
          <w:rFonts w:ascii="Garamond" w:hAnsi="Garamond" w:cs="Arial"/>
          <w:sz w:val="18"/>
          <w:szCs w:val="18"/>
          <w:lang w:val="en-US"/>
        </w:rPr>
      </w:pPr>
    </w:p>
    <w:p w14:paraId="698D353F" w14:textId="77777777" w:rsidR="00C91F5C" w:rsidRDefault="00C91F5C" w:rsidP="00C91F5C">
      <w:pPr>
        <w:spacing w:after="0" w:line="240" w:lineRule="auto"/>
        <w:ind w:left="567"/>
        <w:rPr>
          <w:rFonts w:ascii="Garamond" w:hAnsi="Garamond" w:cs="Arial"/>
          <w:sz w:val="18"/>
          <w:szCs w:val="18"/>
          <w:lang w:val="en-US"/>
        </w:rPr>
      </w:pPr>
    </w:p>
    <w:p w14:paraId="1B943985" w14:textId="77777777" w:rsidR="00C91F5C" w:rsidRPr="001A6FE3" w:rsidRDefault="00C91F5C" w:rsidP="00C91F5C">
      <w:pPr>
        <w:spacing w:after="0" w:line="240" w:lineRule="auto"/>
        <w:ind w:left="567"/>
        <w:rPr>
          <w:rFonts w:ascii="Garamond" w:hAnsi="Garamond" w:cs="Arial"/>
          <w:sz w:val="18"/>
          <w:szCs w:val="18"/>
          <w:lang w:val="en-US"/>
        </w:rPr>
      </w:pPr>
    </w:p>
    <w:p w14:paraId="4B46D660" w14:textId="77777777" w:rsidR="00671FC6" w:rsidRPr="001A6FE3" w:rsidRDefault="00671FC6" w:rsidP="00C91F5C">
      <w:pPr>
        <w:spacing w:after="0" w:line="240" w:lineRule="auto"/>
        <w:jc w:val="both"/>
        <w:rPr>
          <w:rFonts w:ascii="Garamond" w:hAnsi="Garamond"/>
          <w:sz w:val="24"/>
          <w:szCs w:val="24"/>
          <w:lang w:val="en-US"/>
        </w:rPr>
      </w:pPr>
    </w:p>
    <w:p w14:paraId="67556849" w14:textId="77777777" w:rsidR="00C91F5C" w:rsidRDefault="00C91F5C"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both"/>
        <w:rPr>
          <w:rFonts w:ascii="Garamond" w:eastAsia="EB Garamond" w:hAnsi="Garamond" w:cs="EB Garamond"/>
          <w:b/>
          <w:sz w:val="24"/>
          <w:szCs w:val="24"/>
        </w:rPr>
      </w:pPr>
    </w:p>
    <w:p w14:paraId="4C716F9B" w14:textId="72349C19"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both"/>
        <w:rPr>
          <w:rFonts w:ascii="Garamond" w:eastAsia="EB Garamond" w:hAnsi="Garamond" w:cs="EB Garamond"/>
          <w:sz w:val="24"/>
          <w:szCs w:val="24"/>
        </w:rPr>
      </w:pPr>
      <w:r w:rsidRPr="001A6FE3">
        <w:rPr>
          <w:rFonts w:ascii="Garamond" w:eastAsia="EB Garamond" w:hAnsi="Garamond" w:cs="EB Garamond"/>
          <w:b/>
          <w:sz w:val="24"/>
          <w:szCs w:val="24"/>
        </w:rPr>
        <w:lastRenderedPageBreak/>
        <w:t>1 INTRODUÇÃO</w:t>
      </w:r>
    </w:p>
    <w:p w14:paraId="36D37AB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6A172CB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No contexto das ditaduras latino-americanas, observamos políticas sistemáticas de silenciamento e exclusão. Os regimes autoritários, amparados por uma suposta superioridade cognitiva, alheia a qualquer concepção democrática, recorrem à força como instrumento de controle. As consequências são injustiças de múltiplas formas, cujas marcas atravessam gerações. Em contraposição a essas posturas baseadas em hierarquias rígidas e em visões de mundo linear-positivistas-cartesianas, emergem produções artísticas que protestam e resistem, evidenciando que as palavras do poder não são definitivas — e tampouco incontestáveis.</w:t>
      </w:r>
    </w:p>
    <w:p w14:paraId="161B8D2D"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Pensando na produção de conhecimento dissidente em literatura, este artigo tem como finalidade destacar a obra da cineasta, escritora e militante política chilena Carmen Castillo. Marcada pelo exílio dos anos 1970, pela ditadura e pelas lutas revolucionárias na América Latina, sua obra atravessa os âmbitos pessoal e político, articulando memória, história e resistência. A autora é mais conhecida por seus documentários que tratam de temas como: repressão, das violências de estado, exílios e traumas.</w:t>
      </w:r>
    </w:p>
    <w:p w14:paraId="3A03B44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De sua produção cinematográfica, notabilizam-se trabalhos como: </w:t>
      </w:r>
      <w:r w:rsidRPr="001A6FE3">
        <w:rPr>
          <w:rFonts w:ascii="Garamond" w:eastAsia="EB Garamond" w:hAnsi="Garamond" w:cs="EB Garamond"/>
          <w:i/>
          <w:sz w:val="24"/>
          <w:szCs w:val="24"/>
        </w:rPr>
        <w:t xml:space="preserve">La </w:t>
      </w:r>
      <w:proofErr w:type="spellStart"/>
      <w:r w:rsidRPr="001A6FE3">
        <w:rPr>
          <w:rFonts w:ascii="Garamond" w:eastAsia="EB Garamond" w:hAnsi="Garamond" w:cs="EB Garamond"/>
          <w:i/>
          <w:sz w:val="24"/>
          <w:szCs w:val="24"/>
        </w:rPr>
        <w:t>Flaca</w:t>
      </w:r>
      <w:proofErr w:type="spellEnd"/>
      <w:r w:rsidRPr="001A6FE3">
        <w:rPr>
          <w:rFonts w:ascii="Garamond" w:eastAsia="EB Garamond" w:hAnsi="Garamond" w:cs="EB Garamond"/>
          <w:i/>
          <w:sz w:val="24"/>
          <w:szCs w:val="24"/>
        </w:rPr>
        <w:t xml:space="preserve"> </w:t>
      </w:r>
      <w:proofErr w:type="spellStart"/>
      <w:r w:rsidRPr="001A6FE3">
        <w:rPr>
          <w:rFonts w:ascii="Garamond" w:eastAsia="EB Garamond" w:hAnsi="Garamond" w:cs="EB Garamond"/>
          <w:i/>
          <w:sz w:val="24"/>
          <w:szCs w:val="24"/>
        </w:rPr>
        <w:t>Alejandra</w:t>
      </w:r>
      <w:proofErr w:type="spellEnd"/>
      <w:r w:rsidRPr="001A6FE3">
        <w:rPr>
          <w:rFonts w:ascii="Garamond" w:eastAsia="EB Garamond" w:hAnsi="Garamond" w:cs="EB Garamond"/>
          <w:sz w:val="24"/>
          <w:szCs w:val="24"/>
        </w:rPr>
        <w:t xml:space="preserve"> (1994), que discute traição, tortura e dilemas éticos da militância sob ditaduras ao apresentar a trajetória de Márcia Merino, </w:t>
      </w:r>
      <w:proofErr w:type="spellStart"/>
      <w:r w:rsidRPr="001A6FE3">
        <w:rPr>
          <w:rFonts w:ascii="Garamond" w:eastAsia="EB Garamond" w:hAnsi="Garamond" w:cs="EB Garamond"/>
          <w:sz w:val="24"/>
          <w:szCs w:val="24"/>
        </w:rPr>
        <w:t>ex-militante</w:t>
      </w:r>
      <w:proofErr w:type="spellEnd"/>
      <w:r w:rsidRPr="001A6FE3">
        <w:rPr>
          <w:rFonts w:ascii="Garamond" w:eastAsia="EB Garamond" w:hAnsi="Garamond" w:cs="EB Garamond"/>
          <w:sz w:val="24"/>
          <w:szCs w:val="24"/>
        </w:rPr>
        <w:t xml:space="preserve"> do MIR (Movimento de Esquerda Revolucionária) que se torna colaboradora da DINA, a polícia secreta chilena; </w:t>
      </w:r>
      <w:r w:rsidRPr="001A6FE3">
        <w:rPr>
          <w:rFonts w:ascii="Garamond" w:eastAsia="EB Garamond" w:hAnsi="Garamond" w:cs="EB Garamond"/>
          <w:i/>
          <w:sz w:val="24"/>
          <w:szCs w:val="24"/>
        </w:rPr>
        <w:t>Rue Santa Fe</w:t>
      </w:r>
      <w:r w:rsidRPr="001A6FE3">
        <w:rPr>
          <w:rFonts w:ascii="Garamond" w:eastAsia="EB Garamond" w:hAnsi="Garamond" w:cs="EB Garamond"/>
          <w:sz w:val="24"/>
          <w:szCs w:val="24"/>
        </w:rPr>
        <w:t xml:space="preserve"> (2007), obra de cunho autobiográfico que revisita o assassinato de seu companheiro Miguel Enríquez (líder do MIR) pela ditadura de Pinochet e suas próprias experiências de militância, exílio e retorno ao Chile; e </w:t>
      </w:r>
      <w:proofErr w:type="spellStart"/>
      <w:r w:rsidRPr="001A6FE3">
        <w:rPr>
          <w:rFonts w:ascii="Garamond" w:eastAsia="EB Garamond" w:hAnsi="Garamond" w:cs="EB Garamond"/>
          <w:i/>
          <w:sz w:val="24"/>
          <w:szCs w:val="24"/>
        </w:rPr>
        <w:t>On</w:t>
      </w:r>
      <w:proofErr w:type="spellEnd"/>
      <w:r w:rsidRPr="001A6FE3">
        <w:rPr>
          <w:rFonts w:ascii="Garamond" w:eastAsia="EB Garamond" w:hAnsi="Garamond" w:cs="EB Garamond"/>
          <w:i/>
          <w:sz w:val="24"/>
          <w:szCs w:val="24"/>
        </w:rPr>
        <w:t xml:space="preserve"> est </w:t>
      </w:r>
      <w:proofErr w:type="spellStart"/>
      <w:r w:rsidRPr="001A6FE3">
        <w:rPr>
          <w:rFonts w:ascii="Garamond" w:eastAsia="EB Garamond" w:hAnsi="Garamond" w:cs="EB Garamond"/>
          <w:i/>
          <w:sz w:val="24"/>
          <w:szCs w:val="24"/>
        </w:rPr>
        <w:t>vivants</w:t>
      </w:r>
      <w:proofErr w:type="spellEnd"/>
      <w:r w:rsidRPr="001A6FE3">
        <w:rPr>
          <w:rFonts w:ascii="Garamond" w:eastAsia="EB Garamond" w:hAnsi="Garamond" w:cs="EB Garamond"/>
          <w:sz w:val="24"/>
          <w:szCs w:val="24"/>
        </w:rPr>
        <w:t xml:space="preserve"> (2015), que aborda as lutas sociais contemporâneas na Europa e na América Latina, conectando-as à sua história de militância.</w:t>
      </w:r>
    </w:p>
    <w:p w14:paraId="3B27620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Dentre sua produção escrita, encontram-se livros como </w:t>
      </w:r>
      <w:r w:rsidRPr="001A6FE3">
        <w:rPr>
          <w:rFonts w:ascii="Garamond" w:eastAsia="EB Garamond" w:hAnsi="Garamond" w:cs="EB Garamond"/>
          <w:i/>
          <w:sz w:val="24"/>
          <w:szCs w:val="24"/>
        </w:rPr>
        <w:t xml:space="preserve">Un </w:t>
      </w:r>
      <w:proofErr w:type="spellStart"/>
      <w:r w:rsidRPr="001A6FE3">
        <w:rPr>
          <w:rFonts w:ascii="Garamond" w:eastAsia="EB Garamond" w:hAnsi="Garamond" w:cs="EB Garamond"/>
          <w:i/>
          <w:sz w:val="24"/>
          <w:szCs w:val="24"/>
        </w:rPr>
        <w:t>día</w:t>
      </w:r>
      <w:proofErr w:type="spellEnd"/>
      <w:r w:rsidRPr="001A6FE3">
        <w:rPr>
          <w:rFonts w:ascii="Garamond" w:eastAsia="EB Garamond" w:hAnsi="Garamond" w:cs="EB Garamond"/>
          <w:i/>
          <w:sz w:val="24"/>
          <w:szCs w:val="24"/>
        </w:rPr>
        <w:t xml:space="preserve"> de </w:t>
      </w:r>
      <w:proofErr w:type="spellStart"/>
      <w:r w:rsidRPr="001A6FE3">
        <w:rPr>
          <w:rFonts w:ascii="Garamond" w:eastAsia="EB Garamond" w:hAnsi="Garamond" w:cs="EB Garamond"/>
          <w:i/>
          <w:sz w:val="24"/>
          <w:szCs w:val="24"/>
        </w:rPr>
        <w:t>octubre</w:t>
      </w:r>
      <w:proofErr w:type="spellEnd"/>
      <w:r w:rsidRPr="001A6FE3">
        <w:rPr>
          <w:rFonts w:ascii="Garamond" w:eastAsia="EB Garamond" w:hAnsi="Garamond" w:cs="EB Garamond"/>
          <w:i/>
          <w:sz w:val="24"/>
          <w:szCs w:val="24"/>
        </w:rPr>
        <w:t xml:space="preserve"> </w:t>
      </w:r>
      <w:proofErr w:type="spellStart"/>
      <w:r w:rsidRPr="001A6FE3">
        <w:rPr>
          <w:rFonts w:ascii="Garamond" w:eastAsia="EB Garamond" w:hAnsi="Garamond" w:cs="EB Garamond"/>
          <w:i/>
          <w:sz w:val="24"/>
          <w:szCs w:val="24"/>
        </w:rPr>
        <w:t>en</w:t>
      </w:r>
      <w:proofErr w:type="spellEnd"/>
      <w:r w:rsidRPr="001A6FE3">
        <w:rPr>
          <w:rFonts w:ascii="Garamond" w:eastAsia="EB Garamond" w:hAnsi="Garamond" w:cs="EB Garamond"/>
          <w:i/>
          <w:sz w:val="24"/>
          <w:szCs w:val="24"/>
        </w:rPr>
        <w:t xml:space="preserve"> Santiago</w:t>
      </w:r>
      <w:r w:rsidRPr="001A6FE3">
        <w:rPr>
          <w:rFonts w:ascii="Garamond" w:eastAsia="EB Garamond" w:hAnsi="Garamond" w:cs="EB Garamond"/>
          <w:sz w:val="24"/>
          <w:szCs w:val="24"/>
        </w:rPr>
        <w:t xml:space="preserve">, (sobre o ataque militar que matou Miguel Enríquez e a deixou gravemente ferida) e </w:t>
      </w:r>
      <w:proofErr w:type="spellStart"/>
      <w:r w:rsidRPr="001A6FE3">
        <w:rPr>
          <w:rFonts w:ascii="Garamond" w:eastAsia="EB Garamond" w:hAnsi="Garamond" w:cs="EB Garamond"/>
          <w:i/>
          <w:sz w:val="24"/>
          <w:szCs w:val="24"/>
        </w:rPr>
        <w:t>Lignes</w:t>
      </w:r>
      <w:proofErr w:type="spellEnd"/>
      <w:r w:rsidRPr="001A6FE3">
        <w:rPr>
          <w:rFonts w:ascii="Garamond" w:eastAsia="EB Garamond" w:hAnsi="Garamond" w:cs="EB Garamond"/>
          <w:i/>
          <w:sz w:val="24"/>
          <w:szCs w:val="24"/>
        </w:rPr>
        <w:t xml:space="preserve"> de </w:t>
      </w:r>
      <w:proofErr w:type="spellStart"/>
      <w:r w:rsidRPr="001A6FE3">
        <w:rPr>
          <w:rFonts w:ascii="Garamond" w:eastAsia="EB Garamond" w:hAnsi="Garamond" w:cs="EB Garamond"/>
          <w:i/>
          <w:sz w:val="24"/>
          <w:szCs w:val="24"/>
        </w:rPr>
        <w:t>fuite</w:t>
      </w:r>
      <w:proofErr w:type="spellEnd"/>
      <w:r w:rsidRPr="001A6FE3">
        <w:rPr>
          <w:rFonts w:ascii="Garamond" w:eastAsia="EB Garamond" w:hAnsi="Garamond" w:cs="EB Garamond"/>
          <w:i/>
          <w:sz w:val="24"/>
          <w:szCs w:val="24"/>
        </w:rPr>
        <w:t xml:space="preserve"> </w:t>
      </w:r>
      <w:r w:rsidRPr="001A6FE3">
        <w:rPr>
          <w:rFonts w:ascii="Garamond" w:eastAsia="EB Garamond" w:hAnsi="Garamond" w:cs="EB Garamond"/>
          <w:sz w:val="24"/>
          <w:szCs w:val="24"/>
        </w:rPr>
        <w:t>(reflexões sobre o exílio e a reconstrução da identidade), obras marcantes para se pensar o cenário ditatorial chileno e suas consequências para a vida cotidiana das pessoas. O trabalho de Carmen Castillo é um testemunho das feridas deixadas pelas ditaduras latino-americanas, especialmente a chilena, além de um convite à ação política e à preservação da memória coletiva.</w:t>
      </w:r>
    </w:p>
    <w:p w14:paraId="70E891C3"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O recorte deste artigo consiste na obra </w:t>
      </w:r>
      <w:r w:rsidRPr="001A6FE3">
        <w:rPr>
          <w:rFonts w:ascii="Garamond" w:eastAsia="EB Garamond" w:hAnsi="Garamond" w:cs="EB Garamond"/>
          <w:i/>
          <w:sz w:val="24"/>
          <w:szCs w:val="24"/>
        </w:rPr>
        <w:t xml:space="preserve">Santiago-Paris: </w:t>
      </w:r>
      <w:proofErr w:type="spellStart"/>
      <w:r w:rsidRPr="001A6FE3">
        <w:rPr>
          <w:rFonts w:ascii="Garamond" w:eastAsia="EB Garamond" w:hAnsi="Garamond" w:cs="EB Garamond"/>
          <w:i/>
          <w:sz w:val="24"/>
          <w:szCs w:val="24"/>
        </w:rPr>
        <w:t>le</w:t>
      </w:r>
      <w:proofErr w:type="spellEnd"/>
      <w:r w:rsidRPr="001A6FE3">
        <w:rPr>
          <w:rFonts w:ascii="Garamond" w:eastAsia="EB Garamond" w:hAnsi="Garamond" w:cs="EB Garamond"/>
          <w:i/>
          <w:sz w:val="24"/>
          <w:szCs w:val="24"/>
        </w:rPr>
        <w:t xml:space="preserve"> </w:t>
      </w:r>
      <w:proofErr w:type="spellStart"/>
      <w:r w:rsidRPr="001A6FE3">
        <w:rPr>
          <w:rFonts w:ascii="Garamond" w:eastAsia="EB Garamond" w:hAnsi="Garamond" w:cs="EB Garamond"/>
          <w:i/>
          <w:sz w:val="24"/>
          <w:szCs w:val="24"/>
        </w:rPr>
        <w:t>vol</w:t>
      </w:r>
      <w:proofErr w:type="spellEnd"/>
      <w:r w:rsidRPr="001A6FE3">
        <w:rPr>
          <w:rFonts w:ascii="Garamond" w:eastAsia="EB Garamond" w:hAnsi="Garamond" w:cs="EB Garamond"/>
          <w:i/>
          <w:sz w:val="24"/>
          <w:szCs w:val="24"/>
        </w:rPr>
        <w:t xml:space="preserve"> de </w:t>
      </w:r>
      <w:proofErr w:type="spellStart"/>
      <w:r w:rsidRPr="001A6FE3">
        <w:rPr>
          <w:rFonts w:ascii="Garamond" w:eastAsia="EB Garamond" w:hAnsi="Garamond" w:cs="EB Garamond"/>
          <w:i/>
          <w:sz w:val="24"/>
          <w:szCs w:val="24"/>
        </w:rPr>
        <w:t>la</w:t>
      </w:r>
      <w:proofErr w:type="spellEnd"/>
      <w:r w:rsidRPr="001A6FE3">
        <w:rPr>
          <w:rFonts w:ascii="Garamond" w:eastAsia="EB Garamond" w:hAnsi="Garamond" w:cs="EB Garamond"/>
          <w:i/>
          <w:sz w:val="24"/>
          <w:szCs w:val="24"/>
        </w:rPr>
        <w:t xml:space="preserve"> </w:t>
      </w:r>
      <w:proofErr w:type="spellStart"/>
      <w:r w:rsidRPr="001A6FE3">
        <w:rPr>
          <w:rFonts w:ascii="Garamond" w:eastAsia="EB Garamond" w:hAnsi="Garamond" w:cs="EB Garamond"/>
          <w:i/>
          <w:sz w:val="24"/>
          <w:szCs w:val="24"/>
        </w:rPr>
        <w:t>mémoire</w:t>
      </w:r>
      <w:proofErr w:type="spellEnd"/>
      <w:r w:rsidRPr="001A6FE3">
        <w:rPr>
          <w:rFonts w:ascii="Garamond" w:eastAsia="EB Garamond" w:hAnsi="Garamond" w:cs="EB Garamond"/>
          <w:sz w:val="24"/>
          <w:szCs w:val="24"/>
          <w:vertAlign w:val="superscript"/>
        </w:rPr>
        <w:footnoteReference w:id="2"/>
      </w:r>
      <w:r w:rsidRPr="001A6FE3">
        <w:rPr>
          <w:rFonts w:ascii="Garamond" w:eastAsia="EB Garamond" w:hAnsi="Garamond" w:cs="EB Garamond"/>
          <w:sz w:val="24"/>
          <w:szCs w:val="24"/>
        </w:rPr>
        <w:t xml:space="preserve"> (2002) – Santiago-Paris: o voo da memória –, escrita por Carmen Castillo em parceria com sua mãe, Mónica Echeverría. Em tom testemunhal, os capítulos alternam as vozes de mãe e filha, que tratam de suas respectivas gerações ao longo do século XX. Nesse sentido, a história familiar se conjuga com os cenários políticos do Chile, marcados por esperanças, conquistas, desilusões, violências e exílios.</w:t>
      </w:r>
    </w:p>
    <w:p w14:paraId="252CE346"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No âmbito da obra, o foco de análise será o capítulo “</w:t>
      </w:r>
      <w:proofErr w:type="spellStart"/>
      <w:r w:rsidRPr="001A6FE3">
        <w:rPr>
          <w:rFonts w:ascii="Garamond" w:eastAsia="EB Garamond" w:hAnsi="Garamond" w:cs="EB Garamond"/>
          <w:sz w:val="24"/>
          <w:szCs w:val="24"/>
        </w:rPr>
        <w:t>Courir</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fut</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notre</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destin</w:t>
      </w:r>
      <w:proofErr w:type="spellEnd"/>
      <w:r w:rsidRPr="001A6FE3">
        <w:rPr>
          <w:rFonts w:ascii="Garamond" w:eastAsia="EB Garamond" w:hAnsi="Garamond" w:cs="EB Garamond"/>
          <w:sz w:val="24"/>
          <w:szCs w:val="24"/>
        </w:rPr>
        <w:t xml:space="preserve">” – Correr foi nosso destino”. A escrita evidencia o processo de saída do país, marcada pela tragédia e pelo imponderável, representado pela morte, bem como os desconfortos de Carmen em </w:t>
      </w:r>
      <w:r w:rsidRPr="001A6FE3">
        <w:rPr>
          <w:rFonts w:ascii="Garamond" w:eastAsia="EB Garamond" w:hAnsi="Garamond" w:cs="EB Garamond"/>
          <w:sz w:val="24"/>
          <w:szCs w:val="24"/>
        </w:rPr>
        <w:lastRenderedPageBreak/>
        <w:t xml:space="preserve">países estrangeiros, ao se defrontar com seu papel de coadjuvante, posta à sombra do marido morto. O argumento a ser desenvolvido é que, a despeito dos sofrimentos e marginalizações causados tanto pelo exílio quanto pela perda, Carmen Castillo encontra, em meio ao luto, um espaço de protesto. </w:t>
      </w:r>
    </w:p>
    <w:p w14:paraId="4617AA9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255C8E19"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both"/>
        <w:rPr>
          <w:rFonts w:ascii="Garamond" w:eastAsia="EB Garamond" w:hAnsi="Garamond" w:cs="EB Garamond"/>
          <w:b/>
          <w:sz w:val="24"/>
          <w:szCs w:val="24"/>
        </w:rPr>
      </w:pPr>
      <w:r w:rsidRPr="001A6FE3">
        <w:rPr>
          <w:rFonts w:ascii="Garamond" w:eastAsia="EB Garamond" w:hAnsi="Garamond" w:cs="EB Garamond"/>
          <w:b/>
          <w:sz w:val="24"/>
          <w:szCs w:val="24"/>
        </w:rPr>
        <w:t>2 A “VIÚVA HERÓICA”: ENTRE SILÊNCIOS E DESCONFORTOS</w:t>
      </w:r>
    </w:p>
    <w:p w14:paraId="6AC40A6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b/>
          <w:sz w:val="24"/>
          <w:szCs w:val="24"/>
        </w:rPr>
      </w:pPr>
    </w:p>
    <w:p w14:paraId="7DD10462"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A ditadura civil-militar no Chile é comumente dividida em três fases, segundo os informes </w:t>
      </w:r>
      <w:proofErr w:type="spellStart"/>
      <w:r w:rsidRPr="001A6FE3">
        <w:rPr>
          <w:rFonts w:ascii="Garamond" w:eastAsia="EB Garamond" w:hAnsi="Garamond" w:cs="EB Garamond"/>
          <w:i/>
          <w:sz w:val="24"/>
          <w:szCs w:val="24"/>
        </w:rPr>
        <w:t>Retting</w:t>
      </w:r>
      <w:proofErr w:type="spellEnd"/>
      <w:r w:rsidRPr="001A6FE3">
        <w:rPr>
          <w:rFonts w:ascii="Garamond" w:eastAsia="EB Garamond" w:hAnsi="Garamond" w:cs="EB Garamond"/>
          <w:sz w:val="24"/>
          <w:szCs w:val="24"/>
        </w:rPr>
        <w:t xml:space="preserve"> e </w:t>
      </w:r>
      <w:proofErr w:type="spellStart"/>
      <w:r w:rsidRPr="001A6FE3">
        <w:rPr>
          <w:rFonts w:ascii="Garamond" w:eastAsia="EB Garamond" w:hAnsi="Garamond" w:cs="EB Garamond"/>
          <w:i/>
          <w:sz w:val="24"/>
          <w:szCs w:val="24"/>
        </w:rPr>
        <w:t>Valech</w:t>
      </w:r>
      <w:proofErr w:type="spellEnd"/>
      <w:r w:rsidRPr="001A6FE3">
        <w:rPr>
          <w:rFonts w:ascii="Garamond" w:eastAsia="EB Garamond" w:hAnsi="Garamond" w:cs="EB Garamond"/>
          <w:sz w:val="24"/>
          <w:szCs w:val="24"/>
        </w:rPr>
        <w:t xml:space="preserve">, citados em </w:t>
      </w:r>
      <w:r w:rsidRPr="001A6FE3">
        <w:rPr>
          <w:rFonts w:ascii="Garamond" w:eastAsia="EB Garamond" w:hAnsi="Garamond" w:cs="EB Garamond"/>
          <w:i/>
          <w:sz w:val="24"/>
          <w:szCs w:val="24"/>
        </w:rPr>
        <w:t>O Golpe de Estado e a primeira fase no Chile</w:t>
      </w:r>
      <w:r w:rsidRPr="001A6FE3">
        <w:rPr>
          <w:rFonts w:ascii="Garamond" w:eastAsia="EB Garamond" w:hAnsi="Garamond" w:cs="EB Garamond"/>
          <w:sz w:val="24"/>
          <w:szCs w:val="24"/>
        </w:rPr>
        <w:t xml:space="preserve"> (2012), estudo de Silvia Sônia Simões a respeito dos primeiros anos da ditadura chilena. A primeira fase se dá entre setembro e dezembro de 1973 e se constitui num momento de consolidação do regime. Marcam esse momento as prisões e fuzilamentos e uma ausência de organização propriamente dita. O segundo momento, situado entre janeiro de 1974 a agosto de 1977, é marcado pela atuação da DINA (</w:t>
      </w:r>
      <w:proofErr w:type="spellStart"/>
      <w:r w:rsidRPr="001A6FE3">
        <w:rPr>
          <w:rFonts w:ascii="Garamond" w:eastAsia="EB Garamond" w:hAnsi="Garamond" w:cs="EB Garamond"/>
          <w:sz w:val="24"/>
          <w:szCs w:val="24"/>
        </w:rPr>
        <w:t>Dirección</w:t>
      </w:r>
      <w:proofErr w:type="spellEnd"/>
      <w:r w:rsidRPr="001A6FE3">
        <w:rPr>
          <w:rFonts w:ascii="Garamond" w:eastAsia="EB Garamond" w:hAnsi="Garamond" w:cs="EB Garamond"/>
          <w:sz w:val="24"/>
          <w:szCs w:val="24"/>
        </w:rPr>
        <w:t xml:space="preserve"> de </w:t>
      </w:r>
      <w:proofErr w:type="spellStart"/>
      <w:r w:rsidRPr="001A6FE3">
        <w:rPr>
          <w:rFonts w:ascii="Garamond" w:eastAsia="EB Garamond" w:hAnsi="Garamond" w:cs="EB Garamond"/>
          <w:sz w:val="24"/>
          <w:szCs w:val="24"/>
        </w:rPr>
        <w:t>Inteligencia</w:t>
      </w:r>
      <w:proofErr w:type="spellEnd"/>
      <w:r w:rsidRPr="001A6FE3">
        <w:rPr>
          <w:rFonts w:ascii="Garamond" w:eastAsia="EB Garamond" w:hAnsi="Garamond" w:cs="EB Garamond"/>
          <w:sz w:val="24"/>
          <w:szCs w:val="24"/>
        </w:rPr>
        <w:t xml:space="preserve"> Nacional), uma unidade da política secreta que se transformou no braço repressor de Pinochet. Com ela, surgem mecanismos mais aprimorados de tortura, bem como os centros clandestinos de detenção. Por sua vez, o terceiro período, de setembro de 1997 a março de 1990, é marcado pelo uso da tortura de forma mais seletiva e não tão indiscriminado como no segundo momento.</w:t>
      </w:r>
    </w:p>
    <w:p w14:paraId="56A22F6B"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Tal divisão, no entanto, traz diferentes situações de um período marcado pela violência de Estado. Em todos eles, violências e abusos tiveram como resultado torturados, mortos, desaparecidos e, é claro, exilados. Silvia Sônia Simões (2013) observa que o 11 de setembro chileno marca o fim da primeira experiência socialista democrática no mundo. Seu encerramento se deu de forma extremamente violenta, “com a morte do presidente dentro do Palácio La </w:t>
      </w:r>
      <w:proofErr w:type="spellStart"/>
      <w:r w:rsidRPr="001A6FE3">
        <w:rPr>
          <w:rFonts w:ascii="Garamond" w:eastAsia="EB Garamond" w:hAnsi="Garamond" w:cs="EB Garamond"/>
          <w:sz w:val="24"/>
          <w:szCs w:val="24"/>
        </w:rPr>
        <w:t>Moneda</w:t>
      </w:r>
      <w:proofErr w:type="spellEnd"/>
      <w:r w:rsidRPr="001A6FE3">
        <w:rPr>
          <w:rFonts w:ascii="Garamond" w:eastAsia="EB Garamond" w:hAnsi="Garamond" w:cs="EB Garamond"/>
          <w:sz w:val="24"/>
          <w:szCs w:val="24"/>
        </w:rPr>
        <w:t xml:space="preserve"> diante de um bombardeio encaminhado pelas forças lideradas pelo General Augusto Pinochet” (SIMÕES, 2013, p. 13).</w:t>
      </w:r>
    </w:p>
    <w:p w14:paraId="2701F39D"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Antes, porém, Carmen Castillo, advinda de uma família aristocrática, exercia um papel importante junto ao governo de Salvador Allende. No início dos anos 1970, vários exilados chegavam ao Chile, e Carmen Castillo era encarregada pelo próprio presidente de receber os militantes das guerrilhas advindos dos países vizinhos, como Brasil e Bolívia. Com a ditadura de Pinochet, Carmen entra para a clandestinidade, participando da militância. Casada com Miguel </w:t>
      </w:r>
      <w:proofErr w:type="spellStart"/>
      <w:r w:rsidRPr="001A6FE3">
        <w:rPr>
          <w:rFonts w:ascii="Garamond" w:eastAsia="EB Garamond" w:hAnsi="Garamond" w:cs="EB Garamond"/>
          <w:sz w:val="24"/>
          <w:szCs w:val="24"/>
        </w:rPr>
        <w:t>Enriquez</w:t>
      </w:r>
      <w:proofErr w:type="spellEnd"/>
      <w:r w:rsidRPr="001A6FE3">
        <w:rPr>
          <w:rFonts w:ascii="Garamond" w:eastAsia="EB Garamond" w:hAnsi="Garamond" w:cs="EB Garamond"/>
          <w:sz w:val="24"/>
          <w:szCs w:val="24"/>
        </w:rPr>
        <w:t xml:space="preserve">, líder do MIR, vive em constantes perigos, até o dia em que são descobertos pelo regime. No livro </w:t>
      </w:r>
      <w:r w:rsidRPr="001A6FE3">
        <w:rPr>
          <w:rFonts w:ascii="Garamond" w:eastAsia="EB Garamond" w:hAnsi="Garamond" w:cs="EB Garamond"/>
          <w:i/>
          <w:sz w:val="24"/>
          <w:szCs w:val="24"/>
        </w:rPr>
        <w:t>Un Jour d’</w:t>
      </w:r>
      <w:proofErr w:type="spellStart"/>
      <w:r w:rsidRPr="001A6FE3">
        <w:rPr>
          <w:rFonts w:ascii="Garamond" w:eastAsia="EB Garamond" w:hAnsi="Garamond" w:cs="EB Garamond"/>
          <w:i/>
          <w:sz w:val="24"/>
          <w:szCs w:val="24"/>
        </w:rPr>
        <w:t>Octobre</w:t>
      </w:r>
      <w:proofErr w:type="spellEnd"/>
      <w:r w:rsidRPr="001A6FE3">
        <w:rPr>
          <w:rFonts w:ascii="Garamond" w:eastAsia="EB Garamond" w:hAnsi="Garamond" w:cs="EB Garamond"/>
          <w:i/>
          <w:sz w:val="24"/>
          <w:szCs w:val="24"/>
        </w:rPr>
        <w:t xml:space="preserve"> à Santiago</w:t>
      </w:r>
      <w:r w:rsidRPr="001A6FE3">
        <w:rPr>
          <w:rFonts w:ascii="Garamond" w:eastAsia="EB Garamond" w:hAnsi="Garamond" w:cs="EB Garamond"/>
          <w:sz w:val="24"/>
          <w:szCs w:val="24"/>
        </w:rPr>
        <w:t xml:space="preserve"> (1988) – Um dia de </w:t>
      </w:r>
      <w:proofErr w:type="gramStart"/>
      <w:r w:rsidRPr="001A6FE3">
        <w:rPr>
          <w:rFonts w:ascii="Garamond" w:eastAsia="EB Garamond" w:hAnsi="Garamond" w:cs="EB Garamond"/>
          <w:sz w:val="24"/>
          <w:szCs w:val="24"/>
        </w:rPr>
        <w:t>Outubro</w:t>
      </w:r>
      <w:proofErr w:type="gramEnd"/>
      <w:r w:rsidRPr="001A6FE3">
        <w:rPr>
          <w:rFonts w:ascii="Garamond" w:eastAsia="EB Garamond" w:hAnsi="Garamond" w:cs="EB Garamond"/>
          <w:sz w:val="24"/>
          <w:szCs w:val="24"/>
        </w:rPr>
        <w:t xml:space="preserve"> em Santiago –, Carmen Castillo procura reconstruir o caminho que levou à descoberta, pelos militares, da casa azul da rua Santa Fé, lugar em que ela e seu marido viviam escondidos.</w:t>
      </w:r>
    </w:p>
    <w:p w14:paraId="10EB9C6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O assassinato de Miguel e a perda do filho de Carmen marcam, junto ao exílio, a ruptura definitiva com o Chile, de forma que permanecer no país significava, para ela, estar entre inimigos, num palco de desastre. Ela se refere à morte de Miguel e à sua saída definitiva como morte: </w:t>
      </w:r>
    </w:p>
    <w:p w14:paraId="39DC41D6"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51D6727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jc w:val="both"/>
        <w:rPr>
          <w:rFonts w:ascii="Garamond" w:eastAsia="EB Garamond" w:hAnsi="Garamond" w:cs="EB Garamond"/>
          <w:sz w:val="20"/>
          <w:szCs w:val="20"/>
        </w:rPr>
      </w:pPr>
      <w:r w:rsidRPr="001A6FE3">
        <w:rPr>
          <w:rFonts w:ascii="Garamond" w:eastAsia="EB Garamond" w:hAnsi="Garamond" w:cs="EB Garamond"/>
          <w:sz w:val="20"/>
          <w:szCs w:val="20"/>
        </w:rPr>
        <w:t xml:space="preserve">o sangue de Miguel flui, levanta ondas suaves sobre a poeira. E nesse sangue, </w:t>
      </w:r>
      <w:r w:rsidRPr="001A6FE3">
        <w:rPr>
          <w:rFonts w:ascii="Garamond" w:eastAsia="EB Garamond" w:hAnsi="Garamond" w:cs="EB Garamond"/>
          <w:i/>
          <w:sz w:val="20"/>
          <w:szCs w:val="20"/>
        </w:rPr>
        <w:t>La Catita</w:t>
      </w:r>
      <w:r w:rsidRPr="001A6FE3">
        <w:rPr>
          <w:rFonts w:ascii="Garamond" w:eastAsia="EB Garamond" w:hAnsi="Garamond" w:cs="EB Garamond"/>
          <w:sz w:val="20"/>
          <w:szCs w:val="20"/>
        </w:rPr>
        <w:t xml:space="preserve"> [Carmen Castillo] se vai. Ela parte, ela é uma mancha avermelhada, a terra a engole, a leva </w:t>
      </w:r>
      <w:r w:rsidRPr="001A6FE3">
        <w:rPr>
          <w:rFonts w:ascii="Garamond" w:eastAsia="EB Garamond" w:hAnsi="Garamond" w:cs="EB Garamond"/>
          <w:sz w:val="20"/>
          <w:szCs w:val="20"/>
        </w:rPr>
        <w:lastRenderedPageBreak/>
        <w:t xml:space="preserve">para dentro de si. Massa de terra, terra até o fundo da terra, seca. Digamos que ela apodreceu. </w:t>
      </w:r>
      <w:r w:rsidRPr="001A6FE3">
        <w:rPr>
          <w:rFonts w:ascii="Garamond" w:eastAsia="EB Garamond" w:hAnsi="Garamond" w:cs="EB Garamond"/>
          <w:i/>
          <w:sz w:val="20"/>
          <w:szCs w:val="20"/>
        </w:rPr>
        <w:t>La Catita</w:t>
      </w:r>
      <w:r w:rsidRPr="001A6FE3">
        <w:rPr>
          <w:rFonts w:ascii="Garamond" w:eastAsia="EB Garamond" w:hAnsi="Garamond" w:cs="EB Garamond"/>
          <w:sz w:val="20"/>
          <w:szCs w:val="20"/>
        </w:rPr>
        <w:t xml:space="preserve"> morreu, ninguém pode tomar seu lugar</w:t>
      </w:r>
      <w:r w:rsidRPr="001A6FE3">
        <w:rPr>
          <w:rFonts w:ascii="Garamond" w:eastAsia="EB Garamond" w:hAnsi="Garamond" w:cs="EB Garamond"/>
          <w:sz w:val="20"/>
          <w:szCs w:val="20"/>
          <w:vertAlign w:val="superscript"/>
        </w:rPr>
        <w:footnoteReference w:id="3"/>
      </w:r>
      <w:r w:rsidRPr="001A6FE3">
        <w:rPr>
          <w:rFonts w:ascii="Garamond" w:eastAsia="EB Garamond" w:hAnsi="Garamond" w:cs="EB Garamond"/>
          <w:sz w:val="20"/>
          <w:szCs w:val="20"/>
        </w:rPr>
        <w:t xml:space="preserve"> (Castillo, 1988, p. 136).</w:t>
      </w:r>
    </w:p>
    <w:p w14:paraId="2AF293F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3722C51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No capítulo “</w:t>
      </w:r>
      <w:proofErr w:type="spellStart"/>
      <w:r w:rsidRPr="001A6FE3">
        <w:rPr>
          <w:rFonts w:ascii="Garamond" w:eastAsia="EB Garamond" w:hAnsi="Garamond" w:cs="EB Garamond"/>
          <w:i/>
          <w:sz w:val="24"/>
          <w:szCs w:val="24"/>
        </w:rPr>
        <w:t>Courir</w:t>
      </w:r>
      <w:proofErr w:type="spellEnd"/>
      <w:r w:rsidRPr="001A6FE3">
        <w:rPr>
          <w:rFonts w:ascii="Garamond" w:eastAsia="EB Garamond" w:hAnsi="Garamond" w:cs="EB Garamond"/>
          <w:i/>
          <w:sz w:val="24"/>
          <w:szCs w:val="24"/>
        </w:rPr>
        <w:t xml:space="preserve"> </w:t>
      </w:r>
      <w:proofErr w:type="spellStart"/>
      <w:r w:rsidRPr="001A6FE3">
        <w:rPr>
          <w:rFonts w:ascii="Garamond" w:eastAsia="EB Garamond" w:hAnsi="Garamond" w:cs="EB Garamond"/>
          <w:i/>
          <w:sz w:val="24"/>
          <w:szCs w:val="24"/>
        </w:rPr>
        <w:t>fut</w:t>
      </w:r>
      <w:proofErr w:type="spellEnd"/>
      <w:r w:rsidRPr="001A6FE3">
        <w:rPr>
          <w:rFonts w:ascii="Garamond" w:eastAsia="EB Garamond" w:hAnsi="Garamond" w:cs="EB Garamond"/>
          <w:i/>
          <w:sz w:val="24"/>
          <w:szCs w:val="24"/>
        </w:rPr>
        <w:t xml:space="preserve"> </w:t>
      </w:r>
      <w:proofErr w:type="spellStart"/>
      <w:r w:rsidRPr="001A6FE3">
        <w:rPr>
          <w:rFonts w:ascii="Garamond" w:eastAsia="EB Garamond" w:hAnsi="Garamond" w:cs="EB Garamond"/>
          <w:i/>
          <w:sz w:val="24"/>
          <w:szCs w:val="24"/>
        </w:rPr>
        <w:t>notre</w:t>
      </w:r>
      <w:proofErr w:type="spellEnd"/>
      <w:r w:rsidRPr="001A6FE3">
        <w:rPr>
          <w:rFonts w:ascii="Garamond" w:eastAsia="EB Garamond" w:hAnsi="Garamond" w:cs="EB Garamond"/>
          <w:i/>
          <w:sz w:val="24"/>
          <w:szCs w:val="24"/>
        </w:rPr>
        <w:t xml:space="preserve"> </w:t>
      </w:r>
      <w:proofErr w:type="spellStart"/>
      <w:r w:rsidRPr="001A6FE3">
        <w:rPr>
          <w:rFonts w:ascii="Garamond" w:eastAsia="EB Garamond" w:hAnsi="Garamond" w:cs="EB Garamond"/>
          <w:i/>
          <w:sz w:val="24"/>
          <w:szCs w:val="24"/>
        </w:rPr>
        <w:t>destin</w:t>
      </w:r>
      <w:proofErr w:type="spellEnd"/>
      <w:r w:rsidRPr="001A6FE3">
        <w:rPr>
          <w:rFonts w:ascii="Garamond" w:eastAsia="EB Garamond" w:hAnsi="Garamond" w:cs="EB Garamond"/>
          <w:sz w:val="24"/>
          <w:szCs w:val="24"/>
        </w:rPr>
        <w:t xml:space="preserve">”, de </w:t>
      </w:r>
      <w:r w:rsidRPr="001A6FE3">
        <w:rPr>
          <w:rFonts w:ascii="Garamond" w:eastAsia="EB Garamond" w:hAnsi="Garamond" w:cs="EB Garamond"/>
          <w:i/>
          <w:sz w:val="24"/>
          <w:szCs w:val="24"/>
        </w:rPr>
        <w:t>Santiago-Paris</w:t>
      </w:r>
      <w:r w:rsidRPr="001A6FE3">
        <w:rPr>
          <w:rFonts w:ascii="Garamond" w:eastAsia="EB Garamond" w:hAnsi="Garamond" w:cs="EB Garamond"/>
          <w:sz w:val="24"/>
          <w:szCs w:val="24"/>
        </w:rPr>
        <w:t>, Carmen Castillo expressa o desejo de esquecer: “qualquer coisa dentro dessa vida intensa na casa azul-céu de Santa Fé desliza até as profundezas de meu corpo, sem fazer barulho” (Echeverría e Castillo, 2002, p. 189). O 5 de outubro de 1974 configura-se, antes de tudo, como uma experiência de “horror” — termo utilizado pela própria autora — que se inscreve em seu corpo. A morte de Miguel a acompanha para além das fronteiras do Chile, de onde fugir tornava-se uma exigência vital, condição mínima de sobrevivência.</w:t>
      </w:r>
    </w:p>
    <w:p w14:paraId="4BF0E2B2"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Já na Inglaterra, e a despeito da situação vivida no Chile, o filho de Carmen e Miguel nasce. Há, por um momento, uma imposição da vida: “a vida se impõe, o filho de Miguel sobreviverá após ele”</w:t>
      </w:r>
      <w:r w:rsidRPr="001A6FE3">
        <w:rPr>
          <w:rFonts w:ascii="Garamond" w:eastAsia="EB Garamond" w:hAnsi="Garamond" w:cs="EB Garamond"/>
          <w:sz w:val="24"/>
          <w:szCs w:val="24"/>
          <w:vertAlign w:val="superscript"/>
        </w:rPr>
        <w:footnoteReference w:id="4"/>
      </w:r>
      <w:r w:rsidRPr="001A6FE3">
        <w:rPr>
          <w:rFonts w:ascii="Garamond" w:eastAsia="EB Garamond" w:hAnsi="Garamond" w:cs="EB Garamond"/>
          <w:sz w:val="24"/>
          <w:szCs w:val="24"/>
        </w:rPr>
        <w:t xml:space="preserve"> (Echeverría e Castillo, 2002, p. 190). Horas depois, no entanto, a sentença vem de uma mulher do serviço pediátrico, afirmando que a vida da criança está comprometida. Carmen acusa os militares de mais uma morte.</w:t>
      </w:r>
    </w:p>
    <w:p w14:paraId="7335957C"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Sobre a memória, ela reafirma: “não tenho outras lembranças”</w:t>
      </w:r>
      <w:r w:rsidRPr="001A6FE3">
        <w:rPr>
          <w:rFonts w:ascii="Garamond" w:eastAsia="EB Garamond" w:hAnsi="Garamond" w:cs="EB Garamond"/>
          <w:sz w:val="24"/>
          <w:szCs w:val="24"/>
          <w:vertAlign w:val="superscript"/>
        </w:rPr>
        <w:footnoteReference w:id="5"/>
      </w:r>
      <w:r w:rsidRPr="001A6FE3">
        <w:rPr>
          <w:rFonts w:ascii="Garamond" w:eastAsia="EB Garamond" w:hAnsi="Garamond" w:cs="EB Garamond"/>
          <w:sz w:val="24"/>
          <w:szCs w:val="24"/>
        </w:rPr>
        <w:t xml:space="preserve"> (Echeverría e Castillo, 2002, p. 190). Seus passos no exílio são incertos, seu desgosto é evidente: “a sobrevivência. Uma avenida, um apartamento, todos se parecem: subúrbios de Roma, de Estocolmo, de Londres, de Ottawa… errância sem visão, percurso sem movimento, repetição de códigos, a ‘viúva heroica’ se desloca, cega, surda e quase muda”</w:t>
      </w:r>
      <w:r w:rsidRPr="001A6FE3">
        <w:rPr>
          <w:rFonts w:ascii="Garamond" w:eastAsia="EB Garamond" w:hAnsi="Garamond" w:cs="EB Garamond"/>
          <w:sz w:val="24"/>
          <w:szCs w:val="24"/>
          <w:vertAlign w:val="superscript"/>
        </w:rPr>
        <w:footnoteReference w:id="6"/>
      </w:r>
      <w:r w:rsidRPr="001A6FE3">
        <w:rPr>
          <w:rFonts w:ascii="Garamond" w:eastAsia="EB Garamond" w:hAnsi="Garamond" w:cs="EB Garamond"/>
          <w:sz w:val="24"/>
          <w:szCs w:val="24"/>
        </w:rPr>
        <w:t xml:space="preserve"> (Echeverría e Castillo, 2002, p. 191). Sua sobrevivência se desenvolve de forma mecânica, marcada por repetições. Um deslocamento sem um objetivo definido. </w:t>
      </w:r>
    </w:p>
    <w:p w14:paraId="69B4B98B"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Os efeitos do 5 de outubro de 1974 permanecem ao longo do tempo, sobretudo na memória da esquerda chilena. No estrangeiro, Carmen é constantemente solicitada para participar de palestras e colóquios. No entanto, ela ganha o epíteto de “viúva heroica”, que lhe desagrada: “o personagem da viúva heroica era solicitado. Obediente, eu me presto a esse papel. O desgosto crescia”</w:t>
      </w:r>
      <w:r w:rsidRPr="001A6FE3">
        <w:rPr>
          <w:rFonts w:ascii="Garamond" w:eastAsia="EB Garamond" w:hAnsi="Garamond" w:cs="EB Garamond"/>
          <w:sz w:val="24"/>
          <w:szCs w:val="24"/>
          <w:vertAlign w:val="superscript"/>
        </w:rPr>
        <w:footnoteReference w:id="7"/>
      </w:r>
      <w:r w:rsidRPr="001A6FE3">
        <w:rPr>
          <w:rFonts w:ascii="Garamond" w:eastAsia="EB Garamond" w:hAnsi="Garamond" w:cs="EB Garamond"/>
          <w:sz w:val="24"/>
          <w:szCs w:val="24"/>
        </w:rPr>
        <w:t xml:space="preserve"> (Echeverría e Castillo, 2002, p. 192). O personagem da viúva pressupõe a figura de Miguel, uma sombra que gera grande incômodo. Carmen se vê constantemente cercada de solidariedade da parte da resistência chilena. O incômodo referido no livro representa um gesto de protesto feminino em meio ao luto. </w:t>
      </w:r>
    </w:p>
    <w:p w14:paraId="553F014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Para analisar essa ideia de protesto, lanço mão de “</w:t>
      </w:r>
      <w:proofErr w:type="spellStart"/>
      <w:r w:rsidRPr="001A6FE3">
        <w:rPr>
          <w:rFonts w:ascii="Garamond" w:eastAsia="EB Garamond" w:hAnsi="Garamond" w:cs="EB Garamond"/>
          <w:sz w:val="24"/>
          <w:szCs w:val="24"/>
        </w:rPr>
        <w:t>Protestation</w:t>
      </w:r>
      <w:proofErr w:type="spellEnd"/>
      <w:r w:rsidRPr="001A6FE3">
        <w:rPr>
          <w:rFonts w:ascii="Garamond" w:eastAsia="EB Garamond" w:hAnsi="Garamond" w:cs="EB Garamond"/>
          <w:sz w:val="24"/>
          <w:szCs w:val="24"/>
        </w:rPr>
        <w:t xml:space="preserve"> de </w:t>
      </w:r>
      <w:proofErr w:type="spellStart"/>
      <w:r w:rsidRPr="001A6FE3">
        <w:rPr>
          <w:rFonts w:ascii="Garamond" w:eastAsia="EB Garamond" w:hAnsi="Garamond" w:cs="EB Garamond"/>
          <w:sz w:val="24"/>
          <w:szCs w:val="24"/>
        </w:rPr>
        <w:t>femmes</w:t>
      </w:r>
      <w:proofErr w:type="spellEnd"/>
      <w:r w:rsidRPr="001A6FE3">
        <w:rPr>
          <w:rFonts w:ascii="Garamond" w:eastAsia="EB Garamond" w:hAnsi="Garamond" w:cs="EB Garamond"/>
          <w:sz w:val="24"/>
          <w:szCs w:val="24"/>
        </w:rPr>
        <w:t xml:space="preserve"> ou </w:t>
      </w:r>
      <w:proofErr w:type="spellStart"/>
      <w:r w:rsidRPr="001A6FE3">
        <w:rPr>
          <w:rFonts w:ascii="Garamond" w:eastAsia="EB Garamond" w:hAnsi="Garamond" w:cs="EB Garamond"/>
          <w:sz w:val="24"/>
          <w:szCs w:val="24"/>
        </w:rPr>
        <w:t>comment</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soulever</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le</w:t>
      </w:r>
      <w:proofErr w:type="spellEnd"/>
      <w:r w:rsidRPr="001A6FE3">
        <w:rPr>
          <w:rFonts w:ascii="Garamond" w:eastAsia="EB Garamond" w:hAnsi="Garamond" w:cs="EB Garamond"/>
          <w:sz w:val="24"/>
          <w:szCs w:val="24"/>
        </w:rPr>
        <w:t xml:space="preserve"> politique” (Protesto de mulheres ou como sublevar a política), presente em </w:t>
      </w:r>
      <w:r w:rsidRPr="001A6FE3">
        <w:rPr>
          <w:rFonts w:ascii="Garamond" w:eastAsia="EB Garamond" w:hAnsi="Garamond" w:cs="EB Garamond"/>
          <w:i/>
          <w:sz w:val="24"/>
          <w:szCs w:val="24"/>
        </w:rPr>
        <w:t xml:space="preserve">Ninfa Dolorosa </w:t>
      </w:r>
      <w:r w:rsidRPr="001A6FE3">
        <w:rPr>
          <w:rFonts w:ascii="Garamond" w:eastAsia="EB Garamond" w:hAnsi="Garamond" w:cs="EB Garamond"/>
          <w:sz w:val="24"/>
          <w:szCs w:val="24"/>
        </w:rPr>
        <w:t>(2002), de Georges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O texto parte das análises do antropólogo Ernesto de Martino sobre as situações sociais acerca do luto. Ao observar o </w:t>
      </w:r>
      <w:r w:rsidRPr="001A6FE3">
        <w:rPr>
          <w:rFonts w:ascii="Garamond" w:eastAsia="EB Garamond" w:hAnsi="Garamond" w:cs="EB Garamond"/>
          <w:sz w:val="24"/>
          <w:szCs w:val="24"/>
        </w:rPr>
        <w:lastRenderedPageBreak/>
        <w:t>espaço do Mediterrâneo, o antropólogo destaca situações como o grito, o abatimento e o choro como regra entre as mulheres. Seu argumento é de que a situação de dor está muito além de sentimentos individuais: são uma performance coletiva do sofrimento; representam uma obrigação, com gritos e choros ritmados, cantados em uníssono pelas mulheres. Tal processo possui sua eficácia, pois revela a força obrigatória do sentimento individual e do grupo. Grito e choro, portanto, são importantes fenômenos sociais e não apenas psicológicos ou fisiológicos; representam a força obrigatória do sentimento individual e coletivo. Para além de manifestações, são também signos, de forma que as palavras precisam ser ditas de maneira inteligível.</w:t>
      </w:r>
    </w:p>
    <w:p w14:paraId="6D21F82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À esteira de </w:t>
      </w:r>
      <w:proofErr w:type="spellStart"/>
      <w:r w:rsidRPr="001A6FE3">
        <w:rPr>
          <w:rFonts w:ascii="Garamond" w:eastAsia="EB Garamond" w:hAnsi="Garamond" w:cs="EB Garamond"/>
          <w:sz w:val="24"/>
          <w:szCs w:val="24"/>
        </w:rPr>
        <w:t>De</w:t>
      </w:r>
      <w:proofErr w:type="spellEnd"/>
      <w:r w:rsidRPr="001A6FE3">
        <w:rPr>
          <w:rFonts w:ascii="Garamond" w:eastAsia="EB Garamond" w:hAnsi="Garamond" w:cs="EB Garamond"/>
          <w:sz w:val="24"/>
          <w:szCs w:val="24"/>
        </w:rPr>
        <w:t xml:space="preserve"> Martino,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(2002) traz a noção da sobrevivência do luto como permanência histórica. Nesse sentido, os mesmos gestos observados entre os camponeses italianos na contemporaneidade estão presentes no Egito dos faraós, ou entre os heróis mortos da Grécia Antiga. Essa longa duração, segundo De Martino, é um sintoma de irrupção na história das sociedades. Em outras palavras, são fenômenos que atravessam os tempos. Há, portanto, atualidade nos gestos de velar um morto, que os torna imemoriais. Nesse aspecto, o Egito Antigo e a Grécia não se distanciam tanto do mundo moderno, de forma que a repetição de gestos ao longo do tempo mostra a sobrevivência de ritos antigos em outras épocas. A lamentação pelo defunto abre no sujeito um jato de desolação e desorientação fundamentais. É uma crise da presença, marcada pela ausência física do falecido. Essa brecha aberta, seus efeitos remanescentes nos atos de luto são, ao mesmo tempo, individuais e coletivos.</w:t>
      </w:r>
    </w:p>
    <w:p w14:paraId="4B3AFDA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Tais gestos dizem respeito àquilo que Michel </w:t>
      </w:r>
      <w:proofErr w:type="spellStart"/>
      <w:r w:rsidRPr="001A6FE3">
        <w:rPr>
          <w:rFonts w:ascii="Garamond" w:eastAsia="EB Garamond" w:hAnsi="Garamond" w:cs="EB Garamond"/>
          <w:sz w:val="24"/>
          <w:szCs w:val="24"/>
        </w:rPr>
        <w:t>Vovelle</w:t>
      </w:r>
      <w:proofErr w:type="spellEnd"/>
      <w:r w:rsidRPr="001A6FE3">
        <w:rPr>
          <w:rFonts w:ascii="Garamond" w:eastAsia="EB Garamond" w:hAnsi="Garamond" w:cs="EB Garamond"/>
          <w:sz w:val="24"/>
          <w:szCs w:val="24"/>
        </w:rPr>
        <w:t xml:space="preserve">, em </w:t>
      </w:r>
      <w:r w:rsidRPr="001A6FE3">
        <w:rPr>
          <w:rFonts w:ascii="Garamond" w:eastAsia="EB Garamond" w:hAnsi="Garamond" w:cs="EB Garamond"/>
          <w:i/>
          <w:sz w:val="24"/>
          <w:szCs w:val="24"/>
        </w:rPr>
        <w:t>A história dos homens no espelho da morte</w:t>
      </w:r>
      <w:r w:rsidRPr="001A6FE3">
        <w:rPr>
          <w:rFonts w:ascii="Garamond" w:eastAsia="EB Garamond" w:hAnsi="Garamond" w:cs="EB Garamond"/>
          <w:sz w:val="24"/>
          <w:szCs w:val="24"/>
        </w:rPr>
        <w:t xml:space="preserve"> (1996) denomina “morte vivida”, ou seja, o processo cultural de ritualização diante da inevitável “morte sofrida” (a situação biológica de morte). A morte vivida é especialmente relevante aqui, pois traz pistas da sensibilidade das culturas, as formas como reagem e interpretam um fenômeno da finitude, comum a toda humanidade. Para o historiador, há momentos históricos em que o medo da morte é exacerbado, o que ocorre, por exemplo, no mundo moderno, no qual a morte, tornada tabu, é rechaçada.</w:t>
      </w:r>
    </w:p>
    <w:p w14:paraId="31222D76"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Tais estudos sobre a morte são relevantes para este artigo, pois tratam de formas de lidar com o luto. Carmen Castillo se vê diante de uma situação de luto em que a perda (a morte sofrida) se dá de forma violenta. Em todos os lugares onde se encontra, no entanto, ela se depara com a presença constante do marido morto, lembrado pelos olhares de compaixão de terceiros, que representam as situações sociais acerca do luto. Muito além das condolências individuais, temos a dimensão coletiva, que, aqui, assume uma dimensão política. Embora não haja o choro propriamente dito, nem mesmo os gestos antigos próprios do momento do velório, os olhares e as condolências ecoam esses gestos.</w:t>
      </w:r>
    </w:p>
    <w:p w14:paraId="0736E562"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 repulsa da “viúva heroica” diante das condolências estende-se até mesmo à sua mãe: “sua tristeza [de Mónica] me incomoda, eu não sinto nada e não quero saber nada do sofrimento, nada de fato” (Echeverría e Castillo, 2002, p. 191). A recusa em sentir e em compartilhar a dor configura uma negação do luto — uma forma de protesto silencioso. Carmen rejeita as insistentes tentativas de Mónica em acompanhá-la. Tais tentativas, segundo imagem evocada pela própria autora, assemelham-se a um bumerangue mal lançado que retorna com força e a atinge em cheio no coração, provocando-lhe uma sensação sufocante.</w:t>
      </w:r>
    </w:p>
    <w:p w14:paraId="600A8816"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lastRenderedPageBreak/>
        <w:t xml:space="preserve">Tais imagens remetem à peça clássica </w:t>
      </w:r>
      <w:r w:rsidRPr="001A6FE3">
        <w:rPr>
          <w:rFonts w:ascii="Garamond" w:eastAsia="EB Garamond" w:hAnsi="Garamond" w:cs="EB Garamond"/>
          <w:i/>
          <w:sz w:val="24"/>
          <w:szCs w:val="24"/>
        </w:rPr>
        <w:t>Antígona</w:t>
      </w:r>
      <w:r w:rsidRPr="001A6FE3">
        <w:rPr>
          <w:rFonts w:ascii="Garamond" w:eastAsia="EB Garamond" w:hAnsi="Garamond" w:cs="EB Garamond"/>
          <w:sz w:val="24"/>
          <w:szCs w:val="24"/>
        </w:rPr>
        <w:t xml:space="preserve"> (2007), também presente em “</w:t>
      </w:r>
      <w:proofErr w:type="spellStart"/>
      <w:r w:rsidRPr="001A6FE3">
        <w:rPr>
          <w:rFonts w:ascii="Garamond" w:eastAsia="EB Garamond" w:hAnsi="Garamond" w:cs="EB Garamond"/>
          <w:sz w:val="24"/>
          <w:szCs w:val="24"/>
        </w:rPr>
        <w:t>Protestation</w:t>
      </w:r>
      <w:proofErr w:type="spellEnd"/>
      <w:r w:rsidRPr="001A6FE3">
        <w:rPr>
          <w:rFonts w:ascii="Garamond" w:eastAsia="EB Garamond" w:hAnsi="Garamond" w:cs="EB Garamond"/>
          <w:sz w:val="24"/>
          <w:szCs w:val="24"/>
        </w:rPr>
        <w:t xml:space="preserve"> de </w:t>
      </w:r>
      <w:proofErr w:type="spellStart"/>
      <w:r w:rsidRPr="001A6FE3">
        <w:rPr>
          <w:rFonts w:ascii="Garamond" w:eastAsia="EB Garamond" w:hAnsi="Garamond" w:cs="EB Garamond"/>
          <w:sz w:val="24"/>
          <w:szCs w:val="24"/>
        </w:rPr>
        <w:t>femmes</w:t>
      </w:r>
      <w:proofErr w:type="spellEnd"/>
      <w:r w:rsidRPr="001A6FE3">
        <w:rPr>
          <w:rFonts w:ascii="Garamond" w:eastAsia="EB Garamond" w:hAnsi="Garamond" w:cs="EB Garamond"/>
          <w:sz w:val="24"/>
          <w:szCs w:val="24"/>
        </w:rPr>
        <w:t>…” (2002), de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Personagem da obra de Sófocles, Antígona é a “irmã superlativa”, posto que é irmã de seus irmãos e, ao mesmo tempo, de seu pai. Ela traz a lamentação não diretamente pela morte do irmão, mas sim pela interdição da lei ao luto. Para Antígona, é proibido o ato de enterrar </w:t>
      </w:r>
      <w:proofErr w:type="spellStart"/>
      <w:r w:rsidRPr="001A6FE3">
        <w:rPr>
          <w:rFonts w:ascii="Garamond" w:eastAsia="EB Garamond" w:hAnsi="Garamond" w:cs="EB Garamond"/>
          <w:sz w:val="24"/>
          <w:szCs w:val="24"/>
        </w:rPr>
        <w:t>Polinice</w:t>
      </w:r>
      <w:proofErr w:type="spellEnd"/>
      <w:r w:rsidRPr="001A6FE3">
        <w:rPr>
          <w:rFonts w:ascii="Garamond" w:eastAsia="EB Garamond" w:hAnsi="Garamond" w:cs="EB Garamond"/>
          <w:sz w:val="24"/>
          <w:szCs w:val="24"/>
        </w:rPr>
        <w:t>, o irmão traidor da cidade, cujo corpo deve apodrecer ao ar livre. É aqui que nos deparamos com o “luto do luto”. Se o luto se processa pela ausência de alguém, o luto do luto é resultado da ausência do próprio luto. Proibida de chorar seu morto, Antígona colocará em xeque as leis da cidade (históricas e temporais) em favor das leis dos deuses (imemoriais). Seu clamor diante do luto recusado será também uma acusação: ela culpa o soberano Creonte de ir contra os deuses. A tragédia, portanto, insiste sobre esse protesto superlativo de piedade, contra a obediência à lei política voltada para a lei divina.</w:t>
      </w:r>
    </w:p>
    <w:p w14:paraId="0F13A9A2"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 sublevação política, portanto, se dá nesse conflito entre a substância ética (que evoca a leis dos deuses) e as disposições dos eventos históricos (as leis da cidade, que interditam o luto). Antígona, no entanto, nas palavras de sua irmã Ismênia, deseja “o impossível”, ao querer enterrar o irmão, tanto que sua punição final será a morte por emparedamento. Embora condenada, a personagem mantém viva a sobrevivência crítica, a persistência de um gesto de protesto, uma forma de sublevar a política e a lei, livrando-se simbolicamente das paredes que a sufocam.</w:t>
      </w:r>
    </w:p>
    <w:p w14:paraId="005F6613"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A imagem do emparedamento vai ao encontro da situação de Carmen Castillo, no que diz respeito à sensação de </w:t>
      </w:r>
      <w:r w:rsidRPr="001A6FE3">
        <w:rPr>
          <w:rFonts w:ascii="Garamond" w:eastAsia="EB Garamond" w:hAnsi="Garamond" w:cs="EB Garamond"/>
          <w:i/>
          <w:sz w:val="24"/>
          <w:szCs w:val="24"/>
        </w:rPr>
        <w:t xml:space="preserve">sufoco </w:t>
      </w:r>
      <w:r w:rsidRPr="001A6FE3">
        <w:rPr>
          <w:rFonts w:ascii="Garamond" w:eastAsia="EB Garamond" w:hAnsi="Garamond" w:cs="EB Garamond"/>
          <w:sz w:val="24"/>
          <w:szCs w:val="24"/>
        </w:rPr>
        <w:t>diante dos olhares piedosos de terceiros. Ela é também uma figura de sacrifício, posto que sofreu com a ditadura de seu país; representa a imagem da vítima em situação limite, que perde, ao mesmo tempo, o marido e o filho.</w:t>
      </w:r>
      <w:r w:rsidRPr="001A6FE3">
        <w:rPr>
          <w:rFonts w:ascii="Garamond" w:eastAsia="EB Garamond" w:hAnsi="Garamond" w:cs="EB Garamond"/>
          <w:sz w:val="20"/>
          <w:szCs w:val="20"/>
        </w:rPr>
        <w:t xml:space="preserve"> </w:t>
      </w:r>
      <w:r w:rsidRPr="001A6FE3">
        <w:rPr>
          <w:rFonts w:ascii="Garamond" w:eastAsia="EB Garamond" w:hAnsi="Garamond" w:cs="EB Garamond"/>
          <w:sz w:val="24"/>
          <w:szCs w:val="24"/>
        </w:rPr>
        <w:t xml:space="preserve">Esse sepultamento simbólico se dá na construção da imagem da “viúva heroica”, sobre a qual se lançam todas as compaixões. A repetição do luto é traduzida nos olhares, condolências e exigências de sua presença em discussões a respeito da ditadura. Nesse cenário, não é requisitada a </w:t>
      </w:r>
      <w:r w:rsidRPr="001A6FE3">
        <w:rPr>
          <w:rFonts w:ascii="Garamond" w:eastAsia="EB Garamond" w:hAnsi="Garamond" w:cs="EB Garamond"/>
          <w:i/>
          <w:sz w:val="24"/>
          <w:szCs w:val="24"/>
        </w:rPr>
        <w:t>mulher militante</w:t>
      </w:r>
      <w:r w:rsidRPr="001A6FE3">
        <w:rPr>
          <w:rFonts w:ascii="Garamond" w:eastAsia="EB Garamond" w:hAnsi="Garamond" w:cs="EB Garamond"/>
          <w:sz w:val="24"/>
          <w:szCs w:val="24"/>
        </w:rPr>
        <w:t xml:space="preserve">, dotada de subjetividade e ideias próprias, mas sim a </w:t>
      </w:r>
      <w:r w:rsidRPr="001A6FE3">
        <w:rPr>
          <w:rFonts w:ascii="Garamond" w:eastAsia="EB Garamond" w:hAnsi="Garamond" w:cs="EB Garamond"/>
          <w:i/>
          <w:sz w:val="24"/>
          <w:szCs w:val="24"/>
        </w:rPr>
        <w:t>viúva militante</w:t>
      </w:r>
      <w:r w:rsidRPr="001A6FE3">
        <w:rPr>
          <w:rFonts w:ascii="Garamond" w:eastAsia="EB Garamond" w:hAnsi="Garamond" w:cs="EB Garamond"/>
          <w:sz w:val="24"/>
          <w:szCs w:val="24"/>
        </w:rPr>
        <w:t>, vítima da violência, martirizada e à sombra do marido.</w:t>
      </w:r>
    </w:p>
    <w:p w14:paraId="66DB9F8C"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Tradicionalmente, o encerramento dos rituais fúnebres é marcado por uma fala masculina, centrada na exaltação do morto e na fixação de sua memória. Nesse contexto, segundo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(2002), o papel das mulheres é rigidamente delimitado: cabe-lhes tornar audíveis suas lamentações, em contraste com o gesto viril de glorificação. As experiências vividas por Carmen Castillo reiteram essa divisão simbólica do luto, que atribui lugares distintos ao masculino e ao feminino. No entanto, a autora rompe com esses gestos codificados por meio de uma indignação íntima, fazendo do espaço feminino do luto um território de protesto — um protesto feminino formulado a partir de gestos “antipolíticos”. Este termo, conforme a leitura de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(2002), não implica exclusão ou retirada da esfera política, mas sim oposição à ordem instituída, desafiando seus fundamentos. O gesto de Carmen revela, assim, o desejo de viver de alguém que se recusa a aceitar o papel secundário tradicionalmente atribuído às mulheres.</w:t>
      </w:r>
    </w:p>
    <w:p w14:paraId="1284A3F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Por sua vez, a imagem intitulada “</w:t>
      </w:r>
      <w:proofErr w:type="spellStart"/>
      <w:r w:rsidRPr="001A6FE3">
        <w:rPr>
          <w:rFonts w:ascii="Garamond" w:eastAsia="EB Garamond" w:hAnsi="Garamond" w:cs="EB Garamond"/>
          <w:sz w:val="24"/>
          <w:szCs w:val="24"/>
        </w:rPr>
        <w:t>Pieta</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du</w:t>
      </w:r>
      <w:proofErr w:type="spellEnd"/>
      <w:r w:rsidRPr="001A6FE3">
        <w:rPr>
          <w:rFonts w:ascii="Garamond" w:eastAsia="EB Garamond" w:hAnsi="Garamond" w:cs="EB Garamond"/>
          <w:sz w:val="24"/>
          <w:szCs w:val="24"/>
        </w:rPr>
        <w:t xml:space="preserve"> Kosovo”, fotografia de Georges </w:t>
      </w:r>
      <w:proofErr w:type="spellStart"/>
      <w:r w:rsidRPr="001A6FE3">
        <w:rPr>
          <w:rFonts w:ascii="Garamond" w:eastAsia="EB Garamond" w:hAnsi="Garamond" w:cs="EB Garamond"/>
          <w:sz w:val="24"/>
          <w:szCs w:val="24"/>
        </w:rPr>
        <w:t>Mérillon</w:t>
      </w:r>
      <w:proofErr w:type="spellEnd"/>
      <w:r w:rsidRPr="001A6FE3">
        <w:rPr>
          <w:rFonts w:ascii="Garamond" w:eastAsia="EB Garamond" w:hAnsi="Garamond" w:cs="EB Garamond"/>
          <w:sz w:val="24"/>
          <w:szCs w:val="24"/>
        </w:rPr>
        <w:t>, ao mesmo tempo relevante para a análise de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(2002), ilustra a situação do luto como lugar do protesto feminino. A foto apresenta gestos de lamentação de mulheres </w:t>
      </w:r>
      <w:r w:rsidRPr="001A6FE3">
        <w:rPr>
          <w:rFonts w:ascii="Garamond" w:eastAsia="EB Garamond" w:hAnsi="Garamond" w:cs="EB Garamond"/>
          <w:sz w:val="24"/>
          <w:szCs w:val="24"/>
        </w:rPr>
        <w:lastRenderedPageBreak/>
        <w:t>ao redor de um parente morto nos conflitos na província Sérvia. Tais lamentações são marcadas por uma “divisão sexual do trabalho do luto”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2002, p. 206).</w:t>
      </w:r>
    </w:p>
    <w:p w14:paraId="0593F8E1"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A fotografia apresenta uma dramaturgia dos gestos, que compõem um incontestável acordo geral. Aparentemente homogênea, a imagem apresenta diversas figuras, que vão desde a mãe e a esposa num primeiro plano, passando pela avó ao fundo e os vizinhos ou amigos da família. Todos estão tristes e, de alguma forma, fazem um gesto de lamentação. No entanto, o olhar para a imagem é, de repente, abatido pela figura de </w:t>
      </w:r>
      <w:proofErr w:type="spellStart"/>
      <w:r w:rsidRPr="001A6FE3">
        <w:rPr>
          <w:rFonts w:ascii="Garamond" w:eastAsia="EB Garamond" w:hAnsi="Garamond" w:cs="EB Garamond"/>
          <w:sz w:val="24"/>
          <w:szCs w:val="24"/>
        </w:rPr>
        <w:t>Aferdita</w:t>
      </w:r>
      <w:proofErr w:type="spellEnd"/>
      <w:r w:rsidRPr="001A6FE3">
        <w:rPr>
          <w:rFonts w:ascii="Garamond" w:eastAsia="EB Garamond" w:hAnsi="Garamond" w:cs="EB Garamond"/>
          <w:sz w:val="24"/>
          <w:szCs w:val="24"/>
        </w:rPr>
        <w:t xml:space="preserve">, irmã do defunto. Personagem marginal no contexto da foto, </w:t>
      </w:r>
      <w:proofErr w:type="spellStart"/>
      <w:r w:rsidRPr="001A6FE3">
        <w:rPr>
          <w:rFonts w:ascii="Garamond" w:eastAsia="EB Garamond" w:hAnsi="Garamond" w:cs="EB Garamond"/>
          <w:sz w:val="24"/>
          <w:szCs w:val="24"/>
        </w:rPr>
        <w:t>Aferdita</w:t>
      </w:r>
      <w:proofErr w:type="spellEnd"/>
      <w:r w:rsidRPr="001A6FE3">
        <w:rPr>
          <w:rFonts w:ascii="Garamond" w:eastAsia="EB Garamond" w:hAnsi="Garamond" w:cs="EB Garamond"/>
          <w:sz w:val="24"/>
          <w:szCs w:val="24"/>
        </w:rPr>
        <w:t xml:space="preserve"> (à direita do observador) apresenta atitudes que destoam do grupo ao seu redor. Enquanto a mãe ergue os olhos ao céu (gesto de pedido de clemência a Deus) e as demais mulheres lamentam em gestos piedosos, </w:t>
      </w:r>
      <w:proofErr w:type="spellStart"/>
      <w:r w:rsidRPr="001A6FE3">
        <w:rPr>
          <w:rFonts w:ascii="Garamond" w:eastAsia="EB Garamond" w:hAnsi="Garamond" w:cs="EB Garamond"/>
          <w:sz w:val="24"/>
          <w:szCs w:val="24"/>
        </w:rPr>
        <w:t>Aferdita</w:t>
      </w:r>
      <w:proofErr w:type="spellEnd"/>
      <w:r w:rsidRPr="001A6FE3">
        <w:rPr>
          <w:rFonts w:ascii="Garamond" w:eastAsia="EB Garamond" w:hAnsi="Garamond" w:cs="EB Garamond"/>
          <w:sz w:val="24"/>
          <w:szCs w:val="24"/>
        </w:rPr>
        <w:t xml:space="preserve"> mantém seus braços baixos, com os olhos direcionados para a câmera. Ela é a única que mantém a cabeça descoberta num grupo de mulheres muçulmanas. Para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(2002), </w:t>
      </w:r>
      <w:proofErr w:type="spellStart"/>
      <w:r w:rsidRPr="001A6FE3">
        <w:rPr>
          <w:rFonts w:ascii="Garamond" w:eastAsia="EB Garamond" w:hAnsi="Garamond" w:cs="EB Garamond"/>
          <w:sz w:val="24"/>
          <w:szCs w:val="24"/>
        </w:rPr>
        <w:t>Aferdita</w:t>
      </w:r>
      <w:proofErr w:type="spellEnd"/>
      <w:r w:rsidRPr="001A6FE3">
        <w:rPr>
          <w:rFonts w:ascii="Garamond" w:eastAsia="EB Garamond" w:hAnsi="Garamond" w:cs="EB Garamond"/>
          <w:sz w:val="24"/>
          <w:szCs w:val="24"/>
        </w:rPr>
        <w:t xml:space="preserve"> parece manifestar outro desejo, muito alheio ao do grupo no qual se encontra. Seu cabelo desgrenhado, suas expressões duras e decididas destoam da piedade colocada pelo clima geral da foto.</w:t>
      </w:r>
    </w:p>
    <w:p w14:paraId="18BF8CA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Para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(2002), se o gesto de piedade diz respeito a um passado – a “morte sofrida” pelo ente querido –, o protesto dialoga com o futuro: o que fazer sem a pessoa que se foi, quais caminhos percorrer, a despeito dessa falta? Ao mesmo tempo, esse protesto clama por vingança, devido à morte violenta (como poderemos, daqui por diante, vingar a morte injusta?). No fundo, uma queixa fúnebre convertida em ira. </w:t>
      </w:r>
      <w:proofErr w:type="spellStart"/>
      <w:r w:rsidRPr="001A6FE3">
        <w:rPr>
          <w:rFonts w:ascii="Garamond" w:eastAsia="EB Garamond" w:hAnsi="Garamond" w:cs="EB Garamond"/>
          <w:sz w:val="24"/>
          <w:szCs w:val="24"/>
        </w:rPr>
        <w:t>Aferdita</w:t>
      </w:r>
      <w:proofErr w:type="spellEnd"/>
      <w:r w:rsidRPr="001A6FE3">
        <w:rPr>
          <w:rFonts w:ascii="Garamond" w:eastAsia="EB Garamond" w:hAnsi="Garamond" w:cs="EB Garamond"/>
          <w:sz w:val="24"/>
          <w:szCs w:val="24"/>
        </w:rPr>
        <w:t xml:space="preserve"> representa uma figura de graça e juventude que irrompe em algum lugar, desfazendo a economia geral da imagem; por conta disso, está diante da dificuldade de encontrar seu espaço no referido grupo. Seu gesto resiste a todos os outros, rompendo não apenas com os padrões daquela situação em específico, mas com repetições históricas.</w:t>
      </w:r>
    </w:p>
    <w:p w14:paraId="0783D65C"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Há muito da figura de </w:t>
      </w:r>
      <w:proofErr w:type="spellStart"/>
      <w:r w:rsidRPr="001A6FE3">
        <w:rPr>
          <w:rFonts w:ascii="Garamond" w:eastAsia="EB Garamond" w:hAnsi="Garamond" w:cs="EB Garamond"/>
          <w:sz w:val="24"/>
          <w:szCs w:val="24"/>
        </w:rPr>
        <w:t>Aferdita</w:t>
      </w:r>
      <w:proofErr w:type="spellEnd"/>
      <w:r w:rsidRPr="001A6FE3">
        <w:rPr>
          <w:rFonts w:ascii="Garamond" w:eastAsia="EB Garamond" w:hAnsi="Garamond" w:cs="EB Garamond"/>
          <w:sz w:val="24"/>
          <w:szCs w:val="24"/>
        </w:rPr>
        <w:t xml:space="preserve"> em Carmen Castillo. Ambas perderam um ente querido de forma violenta. Da mesma forma que a jovem da foto de </w:t>
      </w:r>
      <w:proofErr w:type="spellStart"/>
      <w:r w:rsidRPr="001A6FE3">
        <w:rPr>
          <w:rFonts w:ascii="Garamond" w:eastAsia="EB Garamond" w:hAnsi="Garamond" w:cs="EB Garamond"/>
          <w:sz w:val="24"/>
          <w:szCs w:val="24"/>
        </w:rPr>
        <w:t>Mérillon</w:t>
      </w:r>
      <w:proofErr w:type="spellEnd"/>
      <w:r w:rsidRPr="001A6FE3">
        <w:rPr>
          <w:rFonts w:ascii="Garamond" w:eastAsia="EB Garamond" w:hAnsi="Garamond" w:cs="EB Garamond"/>
          <w:sz w:val="24"/>
          <w:szCs w:val="24"/>
        </w:rPr>
        <w:t xml:space="preserve">, Carmen se questiona sobre o futuro e como lidar com a morte injusta, </w:t>
      </w:r>
      <w:proofErr w:type="gramStart"/>
      <w:r w:rsidRPr="001A6FE3">
        <w:rPr>
          <w:rFonts w:ascii="Garamond" w:eastAsia="EB Garamond" w:hAnsi="Garamond" w:cs="EB Garamond"/>
          <w:sz w:val="24"/>
          <w:szCs w:val="24"/>
        </w:rPr>
        <w:t>a mesma</w:t>
      </w:r>
      <w:proofErr w:type="gramEnd"/>
      <w:r w:rsidRPr="001A6FE3">
        <w:rPr>
          <w:rFonts w:ascii="Garamond" w:eastAsia="EB Garamond" w:hAnsi="Garamond" w:cs="EB Garamond"/>
          <w:sz w:val="24"/>
          <w:szCs w:val="24"/>
        </w:rPr>
        <w:t xml:space="preserve"> queixa fúnebre transformada em ira. Ao mesmo tempo, Carmen recusa os gestos de compaixão, embora não manifeste aos seus circunstantes. Ao atender as solicitações de sua presença em diversos lugares, é recebida com grande cortesia. A postura de seus aliados, no entanto, lhe causam desconforto:</w:t>
      </w:r>
    </w:p>
    <w:p w14:paraId="67C34C47"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4A523D39"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jc w:val="both"/>
        <w:rPr>
          <w:rFonts w:ascii="Garamond" w:eastAsia="EB Garamond" w:hAnsi="Garamond" w:cs="EB Garamond"/>
          <w:sz w:val="20"/>
          <w:szCs w:val="20"/>
        </w:rPr>
      </w:pPr>
      <w:r w:rsidRPr="001A6FE3">
        <w:rPr>
          <w:rFonts w:ascii="Garamond" w:eastAsia="EB Garamond" w:hAnsi="Garamond" w:cs="EB Garamond"/>
          <w:sz w:val="20"/>
          <w:szCs w:val="20"/>
        </w:rPr>
        <w:t xml:space="preserve">Os rostos graves, os olhares duros, é assim que os sinto, fixos sobre mim, percebendo a falha, movendo-se </w:t>
      </w:r>
      <w:proofErr w:type="spellStart"/>
      <w:r w:rsidRPr="001A6FE3">
        <w:rPr>
          <w:rFonts w:ascii="Garamond" w:eastAsia="EB Garamond" w:hAnsi="Garamond" w:cs="EB Garamond"/>
          <w:sz w:val="20"/>
          <w:szCs w:val="20"/>
        </w:rPr>
        <w:t>complacidos</w:t>
      </w:r>
      <w:proofErr w:type="spellEnd"/>
      <w:r w:rsidRPr="001A6FE3">
        <w:rPr>
          <w:rFonts w:ascii="Garamond" w:eastAsia="EB Garamond" w:hAnsi="Garamond" w:cs="EB Garamond"/>
          <w:sz w:val="20"/>
          <w:szCs w:val="20"/>
        </w:rPr>
        <w:t xml:space="preserve"> no pus, pele purulenta, a minha. Pânico [...] </w:t>
      </w:r>
      <w:r w:rsidRPr="001A6FE3">
        <w:rPr>
          <w:rFonts w:ascii="Garamond" w:eastAsia="EB Garamond" w:hAnsi="Garamond" w:cs="EB Garamond"/>
          <w:i/>
          <w:sz w:val="20"/>
          <w:szCs w:val="20"/>
        </w:rPr>
        <w:t>não sei o que lhes dizer</w:t>
      </w:r>
      <w:r w:rsidRPr="001A6FE3">
        <w:rPr>
          <w:rFonts w:ascii="Garamond" w:eastAsia="EB Garamond" w:hAnsi="Garamond" w:cs="EB Garamond"/>
          <w:sz w:val="20"/>
          <w:szCs w:val="20"/>
        </w:rPr>
        <w:t xml:space="preserve">, como encontrar palavras da linha política de resistência à ditadura, já </w:t>
      </w:r>
      <w:r w:rsidRPr="001A6FE3">
        <w:rPr>
          <w:rFonts w:ascii="Garamond" w:eastAsia="EB Garamond" w:hAnsi="Garamond" w:cs="EB Garamond"/>
          <w:i/>
          <w:sz w:val="20"/>
          <w:szCs w:val="20"/>
        </w:rPr>
        <w:t>esqueci a lição</w:t>
      </w:r>
      <w:r w:rsidRPr="001A6FE3">
        <w:rPr>
          <w:rFonts w:ascii="Garamond" w:eastAsia="EB Garamond" w:hAnsi="Garamond" w:cs="EB Garamond"/>
          <w:sz w:val="20"/>
          <w:szCs w:val="20"/>
        </w:rPr>
        <w:t>, a palavra de ordem de hoje</w:t>
      </w:r>
      <w:r w:rsidRPr="001A6FE3">
        <w:rPr>
          <w:rFonts w:ascii="Garamond" w:eastAsia="EB Garamond" w:hAnsi="Garamond" w:cs="EB Garamond"/>
          <w:sz w:val="20"/>
          <w:szCs w:val="20"/>
          <w:vertAlign w:val="superscript"/>
        </w:rPr>
        <w:footnoteReference w:id="8"/>
      </w:r>
      <w:r w:rsidRPr="001A6FE3">
        <w:rPr>
          <w:rFonts w:ascii="Garamond" w:eastAsia="EB Garamond" w:hAnsi="Garamond" w:cs="EB Garamond"/>
          <w:sz w:val="20"/>
          <w:szCs w:val="20"/>
        </w:rPr>
        <w:t xml:space="preserve"> (Echeverría e Castillo, 2002, p. 192 grifos meus).</w:t>
      </w:r>
    </w:p>
    <w:p w14:paraId="5003901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0"/>
          <w:szCs w:val="20"/>
        </w:rPr>
      </w:pPr>
    </w:p>
    <w:p w14:paraId="33BBC123"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O desconforto advém dos rostos graves e dos olhares de piedade. Resultado da morte do marido, a figura da “viúva” é um peso que a confunde, a ponto de ela se perder em suas palavras. A sensação de “pele purulenta”, mais do que “doença”, sugere também fortes influências das circunstâncias, um desconforto perene que a acompanha. Assim, ao invés de </w:t>
      </w:r>
      <w:r w:rsidRPr="001A6FE3">
        <w:rPr>
          <w:rFonts w:ascii="Garamond" w:eastAsia="EB Garamond" w:hAnsi="Garamond" w:cs="EB Garamond"/>
          <w:sz w:val="24"/>
          <w:szCs w:val="24"/>
        </w:rPr>
        <w:lastRenderedPageBreak/>
        <w:t xml:space="preserve">simplesmente aceitar passivamente as demandas para a “viúva heroica”, Carmen Castillo, tal como </w:t>
      </w:r>
      <w:proofErr w:type="spellStart"/>
      <w:r w:rsidRPr="001A6FE3">
        <w:rPr>
          <w:rFonts w:ascii="Garamond" w:eastAsia="EB Garamond" w:hAnsi="Garamond" w:cs="EB Garamond"/>
          <w:sz w:val="24"/>
          <w:szCs w:val="24"/>
        </w:rPr>
        <w:t>Aferdita</w:t>
      </w:r>
      <w:proofErr w:type="spellEnd"/>
      <w:r w:rsidRPr="001A6FE3">
        <w:rPr>
          <w:rFonts w:ascii="Garamond" w:eastAsia="EB Garamond" w:hAnsi="Garamond" w:cs="EB Garamond"/>
          <w:sz w:val="24"/>
          <w:szCs w:val="24"/>
        </w:rPr>
        <w:t>, recusa os gestos de luto atribuídos ao feminino.</w:t>
      </w:r>
    </w:p>
    <w:p w14:paraId="44ED1C1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5A0ACC8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both"/>
        <w:rPr>
          <w:rFonts w:ascii="Garamond" w:eastAsia="EB Garamond" w:hAnsi="Garamond" w:cs="EB Garamond"/>
          <w:b/>
          <w:sz w:val="24"/>
          <w:szCs w:val="24"/>
        </w:rPr>
      </w:pPr>
      <w:r w:rsidRPr="001A6FE3">
        <w:rPr>
          <w:rFonts w:ascii="Garamond" w:eastAsia="EB Garamond" w:hAnsi="Garamond" w:cs="EB Garamond"/>
          <w:b/>
          <w:sz w:val="24"/>
          <w:szCs w:val="24"/>
        </w:rPr>
        <w:t>3 UMA PERIFERIA RECUSADA: DA “VIÚVA HERÓICA” A NOVAS FORMAS DE COMPREENSÃO</w:t>
      </w:r>
    </w:p>
    <w:p w14:paraId="6B55B26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51AB202B"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Aquilo que aqui se entende como protesto não se dá, no entanto, sem tensões. Para Carmen Castillo há dificuldade em recusar as investidas daqueles que a cercam; tanto que não recusa diretamente às demandas da “viúva heroica”. Em seu desconforto, indaga: “como fugir dessa cidade, desses olhares de compaixão, cheios de desprezo, de burocratas atraídos ainda pela mulher de trinta anos que eu sou. Incapaz de recusar suas investidas, me fecho”</w:t>
      </w:r>
      <w:r w:rsidRPr="001A6FE3">
        <w:rPr>
          <w:rFonts w:ascii="Garamond" w:eastAsia="EB Garamond" w:hAnsi="Garamond" w:cs="EB Garamond"/>
          <w:sz w:val="24"/>
          <w:szCs w:val="24"/>
          <w:vertAlign w:val="superscript"/>
        </w:rPr>
        <w:footnoteReference w:id="9"/>
      </w:r>
      <w:r w:rsidRPr="001A6FE3">
        <w:rPr>
          <w:rFonts w:ascii="Garamond" w:eastAsia="EB Garamond" w:hAnsi="Garamond" w:cs="EB Garamond"/>
          <w:sz w:val="24"/>
          <w:szCs w:val="24"/>
        </w:rPr>
        <w:t xml:space="preserve"> (Echeverría e Castillo, 2002, p. 194). Identifica-se aqui a figura da mulher jovem, que, tal como Antígona, é sacrificada. Sacrifício marcado pela supressão da figura feminina, em prol da memória do líder morto. A imagem de Carmem como “viúva” evoca o líder militante violentamente assassinado. Os olhares que a cercam e confundem são também uma forma de emparedamento. Além disso, ela própria, em seu isolamento dos olhares de compaixão, tem uma atitude de </w:t>
      </w:r>
      <w:proofErr w:type="spellStart"/>
      <w:r w:rsidRPr="001A6FE3">
        <w:rPr>
          <w:rFonts w:ascii="Garamond" w:eastAsia="EB Garamond" w:hAnsi="Garamond" w:cs="EB Garamond"/>
          <w:sz w:val="24"/>
          <w:szCs w:val="24"/>
        </w:rPr>
        <w:t>autoemparedamento</w:t>
      </w:r>
      <w:proofErr w:type="spellEnd"/>
      <w:r w:rsidRPr="001A6FE3">
        <w:rPr>
          <w:rFonts w:ascii="Garamond" w:eastAsia="EB Garamond" w:hAnsi="Garamond" w:cs="EB Garamond"/>
          <w:sz w:val="24"/>
          <w:szCs w:val="24"/>
        </w:rPr>
        <w:t>, um protesto de implicações políticas, já que se refere à sua atuação em âmbito coletivo. Tal imagem diz respeito a sua situação no espaço do exílio. Nele, as vivências femininas são marcadas por exclusão e cerceamento de suas identidades em prol do masculino.</w:t>
      </w:r>
    </w:p>
    <w:p w14:paraId="2CFDF55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O ato de, a princípio, ceder às investidas a torna </w:t>
      </w:r>
      <w:proofErr w:type="spellStart"/>
      <w:r w:rsidRPr="001A6FE3">
        <w:rPr>
          <w:rFonts w:ascii="Garamond" w:eastAsia="EB Garamond" w:hAnsi="Garamond" w:cs="EB Garamond"/>
          <w:sz w:val="24"/>
          <w:szCs w:val="24"/>
        </w:rPr>
        <w:t>autômata</w:t>
      </w:r>
      <w:proofErr w:type="spellEnd"/>
      <w:r w:rsidRPr="001A6FE3">
        <w:rPr>
          <w:rFonts w:ascii="Garamond" w:eastAsia="EB Garamond" w:hAnsi="Garamond" w:cs="EB Garamond"/>
          <w:sz w:val="24"/>
          <w:szCs w:val="24"/>
        </w:rPr>
        <w:t>, de forma que parece não mais pensar, nem refletir. As frases de luto sempre repetidas transformam Carmen em uma máquina, tal como ela própria se descreve: “[...] oxidada, minha cabeça se esvaziava, eu sabia de cor as frases vazias”</w:t>
      </w:r>
      <w:r w:rsidRPr="001A6FE3">
        <w:rPr>
          <w:rFonts w:ascii="Garamond" w:eastAsia="EB Garamond" w:hAnsi="Garamond" w:cs="EB Garamond"/>
          <w:sz w:val="24"/>
          <w:szCs w:val="24"/>
          <w:vertAlign w:val="superscript"/>
        </w:rPr>
        <w:footnoteReference w:id="10"/>
      </w:r>
      <w:r w:rsidRPr="001A6FE3">
        <w:rPr>
          <w:rFonts w:ascii="Garamond" w:eastAsia="EB Garamond" w:hAnsi="Garamond" w:cs="EB Garamond"/>
          <w:sz w:val="24"/>
          <w:szCs w:val="24"/>
        </w:rPr>
        <w:t xml:space="preserve"> (Echeverría e Castillo, 2002, p. 193).</w:t>
      </w:r>
    </w:p>
    <w:p w14:paraId="25BA4E7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Embora silencioso, aparentemente sereno e subterrâneo, esse protesto de Carmen Castillo engendra a ira perante um espaço que suprime a figura feminina em favor da memória masculina. Não há dúvida de que ela deseja vingança por sua perda, mas é também certo que recusa viver à sombra de um morto. Assim, ao mesmo tempo incapaz de proferir uma palavra aos olhares que a emparedam, seus silêncios e o fechamento em si mesma são parte de um protesto fundamental, uma resposta ao cenário do exílio, marcado pelo corte em relação ao país de origem e descolorido pelo sentimento de perda.</w:t>
      </w:r>
    </w:p>
    <w:p w14:paraId="77612416"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Como viver à sombra de uma memória? Como não se inquietar diante de seu próprio anulamento? Entender tais questões leva Carmen à frase aqui entendida como conclusiva: “o que há de heroico em ser a viúva de um herói”</w:t>
      </w:r>
      <w:r w:rsidRPr="001A6FE3">
        <w:rPr>
          <w:rFonts w:ascii="Garamond" w:eastAsia="EB Garamond" w:hAnsi="Garamond" w:cs="EB Garamond"/>
          <w:sz w:val="24"/>
          <w:szCs w:val="24"/>
          <w:vertAlign w:val="superscript"/>
        </w:rPr>
        <w:footnoteReference w:id="11"/>
      </w:r>
      <w:r w:rsidRPr="001A6FE3">
        <w:rPr>
          <w:rFonts w:ascii="Garamond" w:eastAsia="EB Garamond" w:hAnsi="Garamond" w:cs="EB Garamond"/>
          <w:sz w:val="24"/>
          <w:szCs w:val="24"/>
        </w:rPr>
        <w:t xml:space="preserve"> (Echeverría e Castillo, 2002, p. 195). Diante de tantos olhares que a emparedam, diante desses avanços piedosos, Carmen se fecha. </w:t>
      </w:r>
    </w:p>
    <w:p w14:paraId="64B25FAB"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Essa experiência de perda de identidade feminina está presente também em diversos relatos do livro </w:t>
      </w:r>
      <w:r w:rsidRPr="001A6FE3">
        <w:rPr>
          <w:rFonts w:ascii="Garamond" w:eastAsia="EB Garamond" w:hAnsi="Garamond" w:cs="EB Garamond"/>
          <w:i/>
          <w:sz w:val="24"/>
          <w:szCs w:val="24"/>
        </w:rPr>
        <w:t>Memórias das Mulheres do Exílio</w:t>
      </w:r>
      <w:r w:rsidRPr="001A6FE3">
        <w:rPr>
          <w:rFonts w:ascii="Garamond" w:eastAsia="EB Garamond" w:hAnsi="Garamond" w:cs="EB Garamond"/>
          <w:sz w:val="24"/>
          <w:szCs w:val="24"/>
        </w:rPr>
        <w:t xml:space="preserve"> (Costa et al., 1980). Uma experiência que, de certa forma, se aproxima da de Carmen Castillo é narrada por Sandra, militante ativa no Brasil e sempre presente nos debates políticos brasileiros: “eu era militante, mas não tinha </w:t>
      </w:r>
      <w:r w:rsidRPr="001A6FE3">
        <w:rPr>
          <w:rFonts w:ascii="Garamond" w:eastAsia="EB Garamond" w:hAnsi="Garamond" w:cs="EB Garamond"/>
          <w:sz w:val="24"/>
          <w:szCs w:val="24"/>
        </w:rPr>
        <w:lastRenderedPageBreak/>
        <w:t xml:space="preserve">necessidade de fugir, e naquele momento acho que nenhum de nós tinha, a não ser as pessoas realmente famosas e conhecidas da política nacional” (Costa et al., 1980, p. 270). </w:t>
      </w:r>
    </w:p>
    <w:p w14:paraId="2A0D10B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Em 1964, no entanto, ela sai para o Uruguai junto ao marido exilado. Mesmo antes, ela já percebia o casamento como um peso: “o casamento significou uma série de </w:t>
      </w:r>
      <w:r w:rsidRPr="001A6FE3">
        <w:rPr>
          <w:rFonts w:ascii="Garamond" w:eastAsia="EB Garamond" w:hAnsi="Garamond" w:cs="EB Garamond"/>
          <w:i/>
          <w:sz w:val="24"/>
          <w:szCs w:val="24"/>
        </w:rPr>
        <w:t>renúncias</w:t>
      </w:r>
      <w:r w:rsidRPr="001A6FE3">
        <w:rPr>
          <w:rFonts w:ascii="Garamond" w:eastAsia="EB Garamond" w:hAnsi="Garamond" w:cs="EB Garamond"/>
          <w:sz w:val="24"/>
          <w:szCs w:val="24"/>
        </w:rPr>
        <w:t xml:space="preserve">, de coisas que eu não precisaria fazer se não estivesse casada com essa pessoa. E </w:t>
      </w:r>
      <w:r w:rsidRPr="001A6FE3">
        <w:rPr>
          <w:rFonts w:ascii="Garamond" w:eastAsia="EB Garamond" w:hAnsi="Garamond" w:cs="EB Garamond"/>
          <w:i/>
          <w:sz w:val="24"/>
          <w:szCs w:val="24"/>
        </w:rPr>
        <w:t xml:space="preserve">coisas </w:t>
      </w:r>
      <w:r w:rsidRPr="001A6FE3">
        <w:rPr>
          <w:rFonts w:ascii="Garamond" w:eastAsia="EB Garamond" w:hAnsi="Garamond" w:cs="EB Garamond"/>
          <w:sz w:val="24"/>
          <w:szCs w:val="24"/>
        </w:rPr>
        <w:t>que tinha que fazer pelo fato de estar casada com essa pessoa” (Costa et al., 1980, p. 271 grifos meus). Coisas que envolvem o cuidado do lar e do marido e que, por sua vez, implicam renúncias e anulamento da mulher. Nesse momento, ela entende que uma mulher feliz necessita ter seu marido e seus filhos: “Eu tinha muito enraizado na cabeça que uma mulher realmente está completa e feliz na medida em que tem o marido e os filhos dela” (Costa et al., 1980, p. 271). Assim, pelo menos no início, ela compartilha da posição feminina como responsável pelo ambiente doméstico e dedicada ao cuidado da família.</w:t>
      </w:r>
    </w:p>
    <w:p w14:paraId="524818E5"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Em sua ida para o Uruguai, ela perde suas atuações políticas, tornando-se dona de casa. Seu marido continua em suas atividades como líder militante. Para Sandra, há uma confusão da atividade militante com a de </w:t>
      </w:r>
      <w:r w:rsidRPr="001A6FE3">
        <w:rPr>
          <w:rFonts w:ascii="Garamond" w:eastAsia="EB Garamond" w:hAnsi="Garamond" w:cs="EB Garamond"/>
          <w:i/>
          <w:sz w:val="24"/>
          <w:szCs w:val="24"/>
        </w:rPr>
        <w:t>mulher do líder</w:t>
      </w:r>
      <w:r w:rsidRPr="001A6FE3">
        <w:rPr>
          <w:rFonts w:ascii="Garamond" w:eastAsia="EB Garamond" w:hAnsi="Garamond" w:cs="EB Garamond"/>
          <w:sz w:val="24"/>
          <w:szCs w:val="24"/>
        </w:rPr>
        <w:t>. Na volta para o Brasil, ela se torna clandestina devido à situação do marido. Sua posição como sujeito politicamente ativo é anulada: “as coisas estavam colocadas de tal maneira que ele continuava a ser o militante político, ia a reuniões, falava, discutia e eu era a mulher dele” (Costa et al., 1980, p. 271). Ao acompanhá-lo em atividades políticas no espaço público, Sandra se coloca como “sua mulher”, interrompendo todas as suas atuações. Trata-se de uma supressão da identidade feminina e sua circunscrição à esfera doméstica.</w:t>
      </w:r>
    </w:p>
    <w:p w14:paraId="32EFFB29"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Mesmo as mulheres que prosseguiram com uma atuação política se viram na situação de adequação ao masculino. Tal questão é explorada por </w:t>
      </w:r>
      <w:proofErr w:type="spellStart"/>
      <w:r w:rsidRPr="001A6FE3">
        <w:rPr>
          <w:rFonts w:ascii="Garamond" w:eastAsia="EB Garamond" w:hAnsi="Garamond" w:cs="EB Garamond"/>
          <w:sz w:val="24"/>
          <w:szCs w:val="24"/>
        </w:rPr>
        <w:t>Susel</w:t>
      </w:r>
      <w:proofErr w:type="spellEnd"/>
      <w:r w:rsidRPr="001A6FE3">
        <w:rPr>
          <w:rFonts w:ascii="Garamond" w:eastAsia="EB Garamond" w:hAnsi="Garamond" w:cs="EB Garamond"/>
          <w:sz w:val="24"/>
          <w:szCs w:val="24"/>
        </w:rPr>
        <w:t xml:space="preserve"> Oliveira da Rosa em </w:t>
      </w:r>
      <w:r w:rsidRPr="001A6FE3">
        <w:rPr>
          <w:rFonts w:ascii="Garamond" w:eastAsia="EB Garamond" w:hAnsi="Garamond" w:cs="EB Garamond"/>
          <w:i/>
          <w:sz w:val="24"/>
          <w:szCs w:val="24"/>
        </w:rPr>
        <w:t>Mulheres, Ditaduras e Memórias</w:t>
      </w:r>
      <w:r w:rsidRPr="001A6FE3">
        <w:rPr>
          <w:rFonts w:ascii="Garamond" w:eastAsia="EB Garamond" w:hAnsi="Garamond" w:cs="EB Garamond"/>
          <w:sz w:val="24"/>
          <w:szCs w:val="24"/>
        </w:rPr>
        <w:t xml:space="preserve"> (2013). Analisando o caso de mulheres presas e torturadas pela ditadura brasileira, observa que elas: “tiveram que adequar-se ao modelo masculino do militante, com base na divisão dimórfica do mundo” (Rosa, 2013, p. 43). Os movimentos reproduziam os papéis de gênero atribuídos às mulheres e entendidos como naturais, a exemplo do cuidado da casa, dos filhos e do marido. Nesse sentido, a esquerda reproduzia discursos posteriormente adotados pela repressão. Era assim que as mulheres, atuando politicamente ou não, conheciam um espaço de invisibilidade, na medida em que suas identidades eram conformadas ao padrão masculino. Invisibilidade experimentada por Carmen, na medida em que o rótulo de “a viúva” a colocava à sombra do marido violentamente morto. Os cuidados excessivos, as cautelas com as palavras daqueles que a olham a direcionam para uma espécie de periferia indesejada.</w:t>
      </w:r>
    </w:p>
    <w:p w14:paraId="3B8311F0"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 recusa pela lamentação é evidente nas obras de Carmen Castillo. O capítulo “</w:t>
      </w:r>
      <w:proofErr w:type="spellStart"/>
      <w:r w:rsidRPr="001A6FE3">
        <w:rPr>
          <w:rFonts w:ascii="Garamond" w:eastAsia="EB Garamond" w:hAnsi="Garamond" w:cs="EB Garamond"/>
          <w:sz w:val="24"/>
          <w:szCs w:val="24"/>
        </w:rPr>
        <w:t>Courir</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fut</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notre</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destin</w:t>
      </w:r>
      <w:proofErr w:type="spellEnd"/>
      <w:r w:rsidRPr="001A6FE3">
        <w:rPr>
          <w:rFonts w:ascii="Garamond" w:eastAsia="EB Garamond" w:hAnsi="Garamond" w:cs="EB Garamond"/>
          <w:sz w:val="24"/>
          <w:szCs w:val="24"/>
        </w:rPr>
        <w:t xml:space="preserve">”, presente em </w:t>
      </w:r>
      <w:r w:rsidRPr="001A6FE3">
        <w:rPr>
          <w:rFonts w:ascii="Garamond" w:eastAsia="EB Garamond" w:hAnsi="Garamond" w:cs="EB Garamond"/>
          <w:i/>
          <w:sz w:val="24"/>
          <w:szCs w:val="24"/>
        </w:rPr>
        <w:t>Santiago-Paris</w:t>
      </w:r>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le</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vol</w:t>
      </w:r>
      <w:proofErr w:type="spellEnd"/>
      <w:r w:rsidRPr="001A6FE3">
        <w:rPr>
          <w:rFonts w:ascii="Garamond" w:eastAsia="EB Garamond" w:hAnsi="Garamond" w:cs="EB Garamond"/>
          <w:sz w:val="24"/>
          <w:szCs w:val="24"/>
        </w:rPr>
        <w:t xml:space="preserve"> de </w:t>
      </w:r>
      <w:proofErr w:type="spellStart"/>
      <w:r w:rsidRPr="001A6FE3">
        <w:rPr>
          <w:rFonts w:ascii="Garamond" w:eastAsia="EB Garamond" w:hAnsi="Garamond" w:cs="EB Garamond"/>
          <w:sz w:val="24"/>
          <w:szCs w:val="24"/>
        </w:rPr>
        <w:t>la</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mémoire</w:t>
      </w:r>
      <w:proofErr w:type="spellEnd"/>
      <w:r w:rsidRPr="001A6FE3">
        <w:rPr>
          <w:rFonts w:ascii="Garamond" w:eastAsia="EB Garamond" w:hAnsi="Garamond" w:cs="EB Garamond"/>
          <w:sz w:val="24"/>
          <w:szCs w:val="24"/>
        </w:rPr>
        <w:t xml:space="preserve">, evita qualquer vitimização, promovendo cortes repentinos em algumas descrições de suas experiências (histórias pessoais repentinamente dão lugar a eventos políticos). Isso deixa claro o impacto dos eventos políticos em sua trajetória pessoal. Além disso, a escrita em francês aponta para um afastamento em relação ao seu país: Carmen se encontra na França e não pretende voltar. Por isso, a publicação em francês se dá para que o texto seja </w:t>
      </w:r>
      <w:proofErr w:type="gramStart"/>
      <w:r w:rsidRPr="001A6FE3">
        <w:rPr>
          <w:rFonts w:ascii="Garamond" w:eastAsia="EB Garamond" w:hAnsi="Garamond" w:cs="EB Garamond"/>
          <w:sz w:val="24"/>
          <w:szCs w:val="24"/>
        </w:rPr>
        <w:t>melhor</w:t>
      </w:r>
      <w:proofErr w:type="gramEnd"/>
      <w:r w:rsidRPr="001A6FE3">
        <w:rPr>
          <w:rFonts w:ascii="Garamond" w:eastAsia="EB Garamond" w:hAnsi="Garamond" w:cs="EB Garamond"/>
          <w:sz w:val="24"/>
          <w:szCs w:val="24"/>
        </w:rPr>
        <w:t xml:space="preserve"> compreendido. De certa forma, não há também lamentações diante das perdas e violências acarretadas pela ditadura, mas sim a constatação de um país que, democraticamente, precisa avançar.</w:t>
      </w:r>
    </w:p>
    <w:p w14:paraId="2E53E6F3"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lastRenderedPageBreak/>
        <w:t xml:space="preserve">Mais do que apenas se fechar e agir de forma </w:t>
      </w:r>
      <w:proofErr w:type="spellStart"/>
      <w:r w:rsidRPr="001A6FE3">
        <w:rPr>
          <w:rFonts w:ascii="Garamond" w:eastAsia="EB Garamond" w:hAnsi="Garamond" w:cs="EB Garamond"/>
          <w:sz w:val="24"/>
          <w:szCs w:val="24"/>
        </w:rPr>
        <w:t>autômata</w:t>
      </w:r>
      <w:proofErr w:type="spellEnd"/>
      <w:r w:rsidRPr="001A6FE3">
        <w:rPr>
          <w:rFonts w:ascii="Garamond" w:eastAsia="EB Garamond" w:hAnsi="Garamond" w:cs="EB Garamond"/>
          <w:sz w:val="24"/>
          <w:szCs w:val="24"/>
        </w:rPr>
        <w:t xml:space="preserve">, com o passar do tempo, ela procura escapar do emparedamento representado pelos olhares de compaixão e lamentação. Nesse processo, é fundamental o apoio de Beatriz Allende, com a qual se encontra pela última vez em Cuba, em 1976. Consciente do incômodo e da sensação de sufoco que a figura da “viúva heroica” representa para sua amiga, Beatriz aconselha Carmen a deixar o país e, por conseguinte, o personagem imposto. Carmen se mostra ainda fragilizada e temerosa de </w:t>
      </w:r>
      <w:proofErr w:type="gramStart"/>
      <w:r w:rsidRPr="001A6FE3">
        <w:rPr>
          <w:rFonts w:ascii="Garamond" w:eastAsia="EB Garamond" w:hAnsi="Garamond" w:cs="EB Garamond"/>
          <w:sz w:val="24"/>
          <w:szCs w:val="24"/>
        </w:rPr>
        <w:t>deixar para trás</w:t>
      </w:r>
      <w:proofErr w:type="gramEnd"/>
      <w:r w:rsidRPr="001A6FE3">
        <w:rPr>
          <w:rFonts w:ascii="Garamond" w:eastAsia="EB Garamond" w:hAnsi="Garamond" w:cs="EB Garamond"/>
          <w:sz w:val="24"/>
          <w:szCs w:val="24"/>
        </w:rPr>
        <w:t xml:space="preserve"> o personagem que há tanto tempo a acompanhava. Ao mesmo tempo, há a imposição do partido para que ela permaneça no país se prestando ao papel de viúva do líder militante. No entanto:</w:t>
      </w:r>
    </w:p>
    <w:p w14:paraId="63CFCC0C"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35D3C50C"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jc w:val="both"/>
        <w:rPr>
          <w:rFonts w:ascii="Garamond" w:eastAsia="EB Garamond" w:hAnsi="Garamond" w:cs="EB Garamond"/>
          <w:sz w:val="20"/>
          <w:szCs w:val="20"/>
        </w:rPr>
      </w:pPr>
      <w:r w:rsidRPr="001A6FE3">
        <w:rPr>
          <w:rFonts w:ascii="Garamond" w:eastAsia="EB Garamond" w:hAnsi="Garamond" w:cs="EB Garamond"/>
          <w:sz w:val="20"/>
          <w:szCs w:val="20"/>
        </w:rPr>
        <w:t>Andrés, Nelson, a direção do MIR no exterior, evidentemente o aparato cubano, desejavam o contrário. Suas ordens são claras. A viúva deve permanecer em Cuba ou, finalmente, se instalar em Caracas ou no México, na América Latina. Nunca mais lá. Não na França. Paris, de nenhuma maneira</w:t>
      </w:r>
      <w:r w:rsidRPr="001A6FE3">
        <w:rPr>
          <w:rFonts w:ascii="Garamond" w:eastAsia="EB Garamond" w:hAnsi="Garamond" w:cs="EB Garamond"/>
          <w:sz w:val="20"/>
          <w:szCs w:val="20"/>
          <w:vertAlign w:val="superscript"/>
        </w:rPr>
        <w:footnoteReference w:id="12"/>
      </w:r>
      <w:r w:rsidRPr="001A6FE3">
        <w:rPr>
          <w:rFonts w:ascii="Garamond" w:eastAsia="EB Garamond" w:hAnsi="Garamond" w:cs="EB Garamond"/>
          <w:sz w:val="20"/>
          <w:szCs w:val="20"/>
        </w:rPr>
        <w:t xml:space="preserve"> (Echeverría e Castillo, 2002, p. 194).</w:t>
      </w:r>
    </w:p>
    <w:p w14:paraId="183B2B4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30F865C3"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Carmen observa que, em Havana, era preciso quebrar a maneira livre de ser mulher desenvolvida no Chile, em que Carmen assume funções públicas relevantes junto a Salvador e Beatriz Allende. Na ilha caribenha, a liberdade feminina era entendida como estranha, cenário no qual Carmen Castillo define as mulheres como “seres incongruentes”. Emerge daí sua necessidade urgente de afastamento da ilha. </w:t>
      </w:r>
    </w:p>
    <w:p w14:paraId="4464C64D"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Ainda com base em </w:t>
      </w:r>
      <w:proofErr w:type="spellStart"/>
      <w:r w:rsidRPr="001A6FE3">
        <w:rPr>
          <w:rFonts w:ascii="Garamond" w:eastAsia="EB Garamond" w:hAnsi="Garamond" w:cs="EB Garamond"/>
          <w:sz w:val="24"/>
          <w:szCs w:val="24"/>
        </w:rPr>
        <w:t>Susel</w:t>
      </w:r>
      <w:proofErr w:type="spellEnd"/>
      <w:r w:rsidRPr="001A6FE3">
        <w:rPr>
          <w:rFonts w:ascii="Garamond" w:eastAsia="EB Garamond" w:hAnsi="Garamond" w:cs="EB Garamond"/>
          <w:sz w:val="24"/>
          <w:szCs w:val="24"/>
        </w:rPr>
        <w:t xml:space="preserve"> Oliveira da Rosa (2013), permanece presente a conformação do feminino ao modelo masculino de militante. Carmen não é reconhecida nas conferências como uma militante, mas sim como esposa de um homem que morreu por seu país. Percebida como “fraca” e “desamparada”, seu lugar no movimento é periférico e relegado ao espaço dos sentimentos: uma figura frágil associada aos papéis femininos: a </w:t>
      </w:r>
      <w:r w:rsidRPr="001A6FE3">
        <w:rPr>
          <w:rFonts w:ascii="Garamond" w:eastAsia="EB Garamond" w:hAnsi="Garamond" w:cs="EB Garamond"/>
          <w:i/>
          <w:sz w:val="24"/>
          <w:szCs w:val="24"/>
        </w:rPr>
        <w:t>mãe</w:t>
      </w:r>
      <w:r w:rsidRPr="001A6FE3">
        <w:rPr>
          <w:rFonts w:ascii="Garamond" w:eastAsia="EB Garamond" w:hAnsi="Garamond" w:cs="EB Garamond"/>
          <w:sz w:val="24"/>
          <w:szCs w:val="24"/>
        </w:rPr>
        <w:t xml:space="preserve"> que perdeu o filho, a </w:t>
      </w:r>
      <w:r w:rsidRPr="001A6FE3">
        <w:rPr>
          <w:rFonts w:ascii="Garamond" w:eastAsia="EB Garamond" w:hAnsi="Garamond" w:cs="EB Garamond"/>
          <w:i/>
          <w:sz w:val="24"/>
          <w:szCs w:val="24"/>
        </w:rPr>
        <w:t>esposa</w:t>
      </w:r>
      <w:r w:rsidRPr="001A6FE3">
        <w:rPr>
          <w:rFonts w:ascii="Garamond" w:eastAsia="EB Garamond" w:hAnsi="Garamond" w:cs="EB Garamond"/>
          <w:sz w:val="24"/>
          <w:szCs w:val="24"/>
        </w:rPr>
        <w:t xml:space="preserve"> que perdeu o marido, a </w:t>
      </w:r>
      <w:r w:rsidRPr="001A6FE3">
        <w:rPr>
          <w:rFonts w:ascii="Garamond" w:eastAsia="EB Garamond" w:hAnsi="Garamond" w:cs="EB Garamond"/>
          <w:i/>
          <w:sz w:val="24"/>
          <w:szCs w:val="24"/>
        </w:rPr>
        <w:t>mulher</w:t>
      </w:r>
      <w:r w:rsidRPr="001A6FE3">
        <w:rPr>
          <w:rFonts w:ascii="Garamond" w:eastAsia="EB Garamond" w:hAnsi="Garamond" w:cs="EB Garamond"/>
          <w:sz w:val="24"/>
          <w:szCs w:val="24"/>
        </w:rPr>
        <w:t xml:space="preserve"> que precisa de amparo. As qualidades de </w:t>
      </w:r>
      <w:r w:rsidRPr="001A6FE3">
        <w:rPr>
          <w:rFonts w:ascii="Garamond" w:eastAsia="EB Garamond" w:hAnsi="Garamond" w:cs="EB Garamond"/>
          <w:i/>
          <w:sz w:val="24"/>
          <w:szCs w:val="24"/>
        </w:rPr>
        <w:t>mãe</w:t>
      </w:r>
      <w:r w:rsidRPr="001A6FE3">
        <w:rPr>
          <w:rFonts w:ascii="Garamond" w:eastAsia="EB Garamond" w:hAnsi="Garamond" w:cs="EB Garamond"/>
          <w:sz w:val="24"/>
          <w:szCs w:val="24"/>
        </w:rPr>
        <w:t xml:space="preserve">, </w:t>
      </w:r>
      <w:r w:rsidRPr="001A6FE3">
        <w:rPr>
          <w:rFonts w:ascii="Garamond" w:eastAsia="EB Garamond" w:hAnsi="Garamond" w:cs="EB Garamond"/>
          <w:i/>
          <w:sz w:val="24"/>
          <w:szCs w:val="24"/>
        </w:rPr>
        <w:t>esposa</w:t>
      </w:r>
      <w:r w:rsidRPr="001A6FE3">
        <w:rPr>
          <w:rFonts w:ascii="Garamond" w:eastAsia="EB Garamond" w:hAnsi="Garamond" w:cs="EB Garamond"/>
          <w:sz w:val="24"/>
          <w:szCs w:val="24"/>
        </w:rPr>
        <w:t xml:space="preserve"> e </w:t>
      </w:r>
      <w:r w:rsidRPr="001A6FE3">
        <w:rPr>
          <w:rFonts w:ascii="Garamond" w:eastAsia="EB Garamond" w:hAnsi="Garamond" w:cs="EB Garamond"/>
          <w:i/>
          <w:sz w:val="24"/>
          <w:szCs w:val="24"/>
        </w:rPr>
        <w:t xml:space="preserve">mulher frágil </w:t>
      </w:r>
      <w:r w:rsidRPr="001A6FE3">
        <w:rPr>
          <w:rFonts w:ascii="Garamond" w:eastAsia="EB Garamond" w:hAnsi="Garamond" w:cs="EB Garamond"/>
          <w:sz w:val="24"/>
          <w:szCs w:val="24"/>
        </w:rPr>
        <w:t xml:space="preserve">determinam sua identidade. </w:t>
      </w:r>
    </w:p>
    <w:p w14:paraId="6918575B"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 Nesse cenário, o único apoio de Carmen é o de Beatriz Allende: “</w:t>
      </w:r>
      <w:proofErr w:type="spellStart"/>
      <w:r w:rsidRPr="001A6FE3">
        <w:rPr>
          <w:rFonts w:ascii="Garamond" w:eastAsia="EB Garamond" w:hAnsi="Garamond" w:cs="EB Garamond"/>
          <w:i/>
          <w:sz w:val="24"/>
          <w:szCs w:val="24"/>
        </w:rPr>
        <w:t>la</w:t>
      </w:r>
      <w:proofErr w:type="spellEnd"/>
      <w:r w:rsidRPr="001A6FE3">
        <w:rPr>
          <w:rFonts w:ascii="Garamond" w:eastAsia="EB Garamond" w:hAnsi="Garamond" w:cs="EB Garamond"/>
          <w:sz w:val="24"/>
          <w:szCs w:val="24"/>
        </w:rPr>
        <w:t xml:space="preserve"> </w:t>
      </w:r>
      <w:r w:rsidRPr="001A6FE3">
        <w:rPr>
          <w:rFonts w:ascii="Garamond" w:eastAsia="EB Garamond" w:hAnsi="Garamond" w:cs="EB Garamond"/>
          <w:i/>
          <w:sz w:val="24"/>
          <w:szCs w:val="24"/>
        </w:rPr>
        <w:t>Tati</w:t>
      </w:r>
      <w:r w:rsidRPr="001A6FE3">
        <w:rPr>
          <w:rFonts w:ascii="Garamond" w:eastAsia="EB Garamond" w:hAnsi="Garamond" w:cs="EB Garamond"/>
          <w:sz w:val="24"/>
          <w:szCs w:val="24"/>
        </w:rPr>
        <w:t xml:space="preserve"> me encoraja, ela me dá esse presente inacreditável que me permite manter viva”</w:t>
      </w:r>
      <w:r w:rsidRPr="001A6FE3">
        <w:rPr>
          <w:rFonts w:ascii="Garamond" w:eastAsia="EB Garamond" w:hAnsi="Garamond" w:cs="EB Garamond"/>
          <w:sz w:val="24"/>
          <w:szCs w:val="24"/>
          <w:vertAlign w:val="superscript"/>
        </w:rPr>
        <w:footnoteReference w:id="13"/>
      </w:r>
      <w:r w:rsidRPr="001A6FE3">
        <w:rPr>
          <w:rFonts w:ascii="Garamond" w:eastAsia="EB Garamond" w:hAnsi="Garamond" w:cs="EB Garamond"/>
          <w:sz w:val="24"/>
          <w:szCs w:val="24"/>
        </w:rPr>
        <w:t xml:space="preserve"> (Echeverría e Castillo, 2002, p. 194). Mais do que o apoio feminino, trata-se do suporte de uma amizade antiga, alguém que compreende os dramas alheios, apontando diretrizes.</w:t>
      </w:r>
    </w:p>
    <w:p w14:paraId="65DC20A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 despeito das oposições do MIR, Carmen Castillo consegue, em 1976, sair de Cuba, um privilégio que ela própria reconhece: “uma vez mais privilegiada, eu me vou, minhas camaradas exiladas do MIR não podiam se mover”</w:t>
      </w:r>
      <w:r w:rsidRPr="001A6FE3">
        <w:rPr>
          <w:rFonts w:ascii="Garamond" w:eastAsia="EB Garamond" w:hAnsi="Garamond" w:cs="EB Garamond"/>
          <w:sz w:val="24"/>
          <w:szCs w:val="24"/>
          <w:vertAlign w:val="superscript"/>
        </w:rPr>
        <w:footnoteReference w:id="14"/>
      </w:r>
      <w:r w:rsidRPr="001A6FE3">
        <w:rPr>
          <w:rFonts w:ascii="Garamond" w:eastAsia="EB Garamond" w:hAnsi="Garamond" w:cs="EB Garamond"/>
          <w:sz w:val="24"/>
          <w:szCs w:val="24"/>
        </w:rPr>
        <w:t xml:space="preserve"> (Echeverría e Castillo, 2002, p. 194).  Diferente de outras mulheres, Carmen possui mais mobilidade, sendo capaz de caminhar para outros espaços de seu exílio. A saída de Cuba representa outra fase de seu exílio, dessa vez com melhores expectativas: </w:t>
      </w:r>
    </w:p>
    <w:p w14:paraId="48DDF51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061083AC"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jc w:val="both"/>
        <w:rPr>
          <w:rFonts w:ascii="Garamond" w:eastAsia="EB Garamond" w:hAnsi="Garamond" w:cs="EB Garamond"/>
          <w:sz w:val="20"/>
          <w:szCs w:val="20"/>
        </w:rPr>
      </w:pPr>
      <w:r w:rsidRPr="001A6FE3">
        <w:rPr>
          <w:rFonts w:ascii="Garamond" w:eastAsia="EB Garamond" w:hAnsi="Garamond" w:cs="EB Garamond"/>
          <w:sz w:val="20"/>
          <w:szCs w:val="20"/>
        </w:rPr>
        <w:t xml:space="preserve">um outro tempo do meu exílio começava. Eu acreditava poder pôr fim à impostura de meu personagem. O que há de heroico em ser a viúva de um herói? Eu não podia mais lidar com </w:t>
      </w:r>
      <w:r w:rsidRPr="001A6FE3">
        <w:rPr>
          <w:rFonts w:ascii="Garamond" w:eastAsia="EB Garamond" w:hAnsi="Garamond" w:cs="EB Garamond"/>
          <w:sz w:val="20"/>
          <w:szCs w:val="20"/>
        </w:rPr>
        <w:lastRenderedPageBreak/>
        <w:t>esse lugar e com as obrigações que ele fazia pesar sobre a mulher que eu era então, que, ao menos, eu ainda acreditava ser</w:t>
      </w:r>
      <w:r w:rsidRPr="001A6FE3">
        <w:rPr>
          <w:rFonts w:ascii="Garamond" w:eastAsia="EB Garamond" w:hAnsi="Garamond" w:cs="EB Garamond"/>
          <w:sz w:val="20"/>
          <w:szCs w:val="20"/>
          <w:vertAlign w:val="superscript"/>
        </w:rPr>
        <w:footnoteReference w:id="15"/>
      </w:r>
      <w:r w:rsidRPr="001A6FE3">
        <w:rPr>
          <w:rFonts w:ascii="Garamond" w:eastAsia="EB Garamond" w:hAnsi="Garamond" w:cs="EB Garamond"/>
          <w:sz w:val="20"/>
          <w:szCs w:val="20"/>
        </w:rPr>
        <w:t xml:space="preserve"> (Echeverría e Castillo, 2002, p. 195).</w:t>
      </w:r>
    </w:p>
    <w:p w14:paraId="42980AD1"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5DE3C9A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 saída de Havana se dá em forma de desobediência ao partido. Isso demonstra força de decisão, um grande contraste com a situação anterior de Carmen, marcada por automatismo e fraqueza. A saída de Cuba e a decisão de deixar para sempre a personagem da “viúva heroica” marcam uma outra fase de seu exílio. Tal decisão, no entanto, é gestada naquilo que, na esteira de Didi-</w:t>
      </w:r>
      <w:proofErr w:type="spellStart"/>
      <w:r w:rsidRPr="001A6FE3">
        <w:rPr>
          <w:rFonts w:ascii="Garamond" w:eastAsia="EB Garamond" w:hAnsi="Garamond" w:cs="EB Garamond"/>
          <w:sz w:val="24"/>
          <w:szCs w:val="24"/>
        </w:rPr>
        <w:t>Huberman</w:t>
      </w:r>
      <w:proofErr w:type="spellEnd"/>
      <w:r w:rsidRPr="001A6FE3">
        <w:rPr>
          <w:rFonts w:ascii="Garamond" w:eastAsia="EB Garamond" w:hAnsi="Garamond" w:cs="EB Garamond"/>
          <w:sz w:val="24"/>
          <w:szCs w:val="24"/>
        </w:rPr>
        <w:t xml:space="preserve"> (2002), é o </w:t>
      </w:r>
      <w:r w:rsidRPr="001A6FE3">
        <w:rPr>
          <w:rFonts w:ascii="Garamond" w:eastAsia="EB Garamond" w:hAnsi="Garamond" w:cs="EB Garamond"/>
          <w:i/>
          <w:sz w:val="24"/>
          <w:szCs w:val="24"/>
        </w:rPr>
        <w:t>protesto feminino</w:t>
      </w:r>
      <w:r w:rsidRPr="001A6FE3">
        <w:rPr>
          <w:rFonts w:ascii="Garamond" w:eastAsia="EB Garamond" w:hAnsi="Garamond" w:cs="EB Garamond"/>
          <w:sz w:val="24"/>
          <w:szCs w:val="24"/>
        </w:rPr>
        <w:t xml:space="preserve"> no âmbito do luto, que transpassa aspectos particulares, ganhando uma dimensão política em que as mulheres conquistam espaços de destaque, além da mera limitação a espaços periféricos.  </w:t>
      </w:r>
    </w:p>
    <w:p w14:paraId="06BB90FE"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Essa consciência de Carmen Castillo é gestada num espaço em que a pressão por sua permanência em Havana e o uso da imagem da viúva eram ainda demandas insistentes. Uma nova percepção aliada ao apoio de Beatriz Allende determinaram, por fim, sua chegada a Paris. Nesse lugar, ela se refere a duas mulheres em tensão: de um lado, uma Carmen do passado, militante do MIR, esposa de Miguel, </w:t>
      </w:r>
      <w:proofErr w:type="spellStart"/>
      <w:r w:rsidRPr="001A6FE3">
        <w:rPr>
          <w:rFonts w:ascii="Garamond" w:eastAsia="EB Garamond" w:hAnsi="Garamond" w:cs="EB Garamond"/>
          <w:i/>
          <w:sz w:val="24"/>
          <w:szCs w:val="24"/>
        </w:rPr>
        <w:t>la</w:t>
      </w:r>
      <w:proofErr w:type="spellEnd"/>
      <w:r w:rsidRPr="001A6FE3">
        <w:rPr>
          <w:rFonts w:ascii="Garamond" w:eastAsia="EB Garamond" w:hAnsi="Garamond" w:cs="EB Garamond"/>
          <w:sz w:val="24"/>
          <w:szCs w:val="24"/>
        </w:rPr>
        <w:t xml:space="preserve"> </w:t>
      </w:r>
      <w:r w:rsidRPr="001A6FE3">
        <w:rPr>
          <w:rFonts w:ascii="Garamond" w:eastAsia="EB Garamond" w:hAnsi="Garamond" w:cs="EB Garamond"/>
          <w:i/>
          <w:sz w:val="24"/>
          <w:szCs w:val="24"/>
        </w:rPr>
        <w:t>Catita</w:t>
      </w:r>
      <w:r w:rsidRPr="001A6FE3">
        <w:rPr>
          <w:rFonts w:ascii="Garamond" w:eastAsia="EB Garamond" w:hAnsi="Garamond" w:cs="EB Garamond"/>
          <w:sz w:val="24"/>
          <w:szCs w:val="24"/>
        </w:rPr>
        <w:t xml:space="preserve">, ainda viva e dançante, insistente em permanecer; de outro, a figura do presente, uma sombra – figura ainda construção. </w:t>
      </w:r>
    </w:p>
    <w:p w14:paraId="64B60FC7"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O ano é 1977, dia de Pentecostes. É nesse dia que Carmen Castillo define a morte de </w:t>
      </w:r>
      <w:proofErr w:type="spellStart"/>
      <w:proofErr w:type="gramStart"/>
      <w:r w:rsidRPr="001A6FE3">
        <w:rPr>
          <w:rFonts w:ascii="Garamond" w:eastAsia="EB Garamond" w:hAnsi="Garamond" w:cs="EB Garamond"/>
          <w:i/>
          <w:sz w:val="24"/>
          <w:szCs w:val="24"/>
        </w:rPr>
        <w:t>la</w:t>
      </w:r>
      <w:proofErr w:type="spellEnd"/>
      <w:r w:rsidRPr="001A6FE3">
        <w:rPr>
          <w:rFonts w:ascii="Garamond" w:eastAsia="EB Garamond" w:hAnsi="Garamond" w:cs="EB Garamond"/>
          <w:i/>
          <w:sz w:val="24"/>
          <w:szCs w:val="24"/>
        </w:rPr>
        <w:t xml:space="preserve"> Catita</w:t>
      </w:r>
      <w:proofErr w:type="gramEnd"/>
      <w:r w:rsidRPr="001A6FE3">
        <w:rPr>
          <w:rFonts w:ascii="Garamond" w:eastAsia="EB Garamond" w:hAnsi="Garamond" w:cs="EB Garamond"/>
          <w:sz w:val="24"/>
          <w:szCs w:val="24"/>
        </w:rPr>
        <w:t>, ou seja, o corte definitivo em relação ao seu eu chileno. Ela própria desconhece como denominar essa experiência: “[...] não sei como podemos chamar essa experiência. A existência, ao mesmo tempo, de duas mulheres em um só corpo que lhes incarna”</w:t>
      </w:r>
      <w:r w:rsidRPr="001A6FE3">
        <w:rPr>
          <w:rFonts w:ascii="Garamond" w:eastAsia="EB Garamond" w:hAnsi="Garamond" w:cs="EB Garamond"/>
          <w:sz w:val="24"/>
          <w:szCs w:val="24"/>
          <w:vertAlign w:val="superscript"/>
        </w:rPr>
        <w:footnoteReference w:id="16"/>
      </w:r>
      <w:r w:rsidRPr="001A6FE3">
        <w:rPr>
          <w:rFonts w:ascii="Garamond" w:eastAsia="EB Garamond" w:hAnsi="Garamond" w:cs="EB Garamond"/>
          <w:sz w:val="24"/>
          <w:szCs w:val="24"/>
          <w:vertAlign w:val="superscript"/>
        </w:rPr>
        <w:t xml:space="preserve"> </w:t>
      </w:r>
      <w:r w:rsidRPr="001A6FE3">
        <w:rPr>
          <w:rFonts w:ascii="Garamond" w:eastAsia="EB Garamond" w:hAnsi="Garamond" w:cs="EB Garamond"/>
          <w:sz w:val="24"/>
          <w:szCs w:val="24"/>
        </w:rPr>
        <w:t>(Echeverría e Castillo, 2002, p. 197). O fim dessa duplicidade a conduz em suas reconstruções pelo exílio.</w:t>
      </w:r>
    </w:p>
    <w:p w14:paraId="37882547"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É nesse sentido que, para além de um espaço de cortes, traumas e dramas, o exílio representa também a possibilidade de compreensões talvez inviáveis no país de origem. Essa dupla face do exílio é destacada por Denise Rollemberg, em </w:t>
      </w:r>
      <w:r w:rsidRPr="001A6FE3">
        <w:rPr>
          <w:rFonts w:ascii="Garamond" w:eastAsia="EB Garamond" w:hAnsi="Garamond" w:cs="EB Garamond"/>
          <w:i/>
          <w:sz w:val="24"/>
          <w:szCs w:val="24"/>
        </w:rPr>
        <w:t xml:space="preserve">Exílio: </w:t>
      </w:r>
      <w:r w:rsidRPr="001A6FE3">
        <w:rPr>
          <w:rFonts w:ascii="Garamond" w:eastAsia="EB Garamond" w:hAnsi="Garamond" w:cs="EB Garamond"/>
          <w:sz w:val="24"/>
          <w:szCs w:val="24"/>
        </w:rPr>
        <w:t>entre raízes e radares (1999).  Trazendo diversas experiências de exilados políticos no âmbito brasileiro, a historiadora argumenta que tais experiências não apresentam apenas uma dimensão de perda, podendo ser problematizada com uma dupla face: uma delas negativa, marcada por traumas e cortes, e outra que abre espaço para possibilidades de reflexão. Se, por um lado, há separações e mortes, incertezas e cortes, há, por outro, (</w:t>
      </w:r>
      <w:proofErr w:type="spellStart"/>
      <w:r w:rsidRPr="001A6FE3">
        <w:rPr>
          <w:rFonts w:ascii="Garamond" w:eastAsia="EB Garamond" w:hAnsi="Garamond" w:cs="EB Garamond"/>
          <w:sz w:val="24"/>
          <w:szCs w:val="24"/>
        </w:rPr>
        <w:t>re</w:t>
      </w:r>
      <w:proofErr w:type="spellEnd"/>
      <w:r w:rsidRPr="001A6FE3">
        <w:rPr>
          <w:rFonts w:ascii="Garamond" w:eastAsia="EB Garamond" w:hAnsi="Garamond" w:cs="EB Garamond"/>
          <w:sz w:val="24"/>
          <w:szCs w:val="24"/>
        </w:rPr>
        <w:t xml:space="preserve">)encontros e renascimentos, novas compreensões e caminhos. A quebra das raízes possibilita a construção de novos radares, novos sentidos para uma história inicialmente trágica, mas, posteriormente, repleta de perspectivas. Trata-se de uma dupla face, ambígua e complementar. </w:t>
      </w:r>
    </w:p>
    <w:p w14:paraId="7D0AE26A"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Nessa esteira, o caso de Carmen Castillo, marcado por separações, afastamentos, dores e cortes compõe um processo que permite (</w:t>
      </w:r>
      <w:proofErr w:type="spellStart"/>
      <w:r w:rsidRPr="001A6FE3">
        <w:rPr>
          <w:rFonts w:ascii="Garamond" w:eastAsia="EB Garamond" w:hAnsi="Garamond" w:cs="EB Garamond"/>
          <w:sz w:val="24"/>
          <w:szCs w:val="24"/>
        </w:rPr>
        <w:t>re</w:t>
      </w:r>
      <w:proofErr w:type="spellEnd"/>
      <w:r w:rsidRPr="001A6FE3">
        <w:rPr>
          <w:rFonts w:ascii="Garamond" w:eastAsia="EB Garamond" w:hAnsi="Garamond" w:cs="EB Garamond"/>
          <w:sz w:val="24"/>
          <w:szCs w:val="24"/>
        </w:rPr>
        <w:t xml:space="preserve">)encontros e novas compreensões. Aos poucos, sua situação de esposa do líder político, ou sombra do marido morto, ganha, em sua perspectiva, novos contornos. Ela aprende a lidar com o espaço do exílio, criando formas de sobreviver: </w:t>
      </w:r>
    </w:p>
    <w:p w14:paraId="259D039B"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13A017F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jc w:val="both"/>
        <w:rPr>
          <w:rFonts w:ascii="Garamond" w:eastAsia="EB Garamond" w:hAnsi="Garamond" w:cs="EB Garamond"/>
          <w:sz w:val="20"/>
          <w:szCs w:val="20"/>
        </w:rPr>
      </w:pPr>
      <w:r w:rsidRPr="001A6FE3">
        <w:rPr>
          <w:rFonts w:ascii="Garamond" w:eastAsia="EB Garamond" w:hAnsi="Garamond" w:cs="EB Garamond"/>
          <w:sz w:val="20"/>
          <w:szCs w:val="20"/>
        </w:rPr>
        <w:lastRenderedPageBreak/>
        <w:t>[...] fui ilha para salvar minha pele. Pouco a pouco, e apesar da morte da criança, após dois anos de existência adormecida, retorno à vida, enfrento a nostalgia, o culto da morte e do sacrifício; a memória, matéria viva, assim exige. É no exílio que aprendo finalmente a força subversiva das memórias dos vencidos</w:t>
      </w:r>
      <w:r w:rsidRPr="001A6FE3">
        <w:rPr>
          <w:rFonts w:ascii="Garamond" w:eastAsia="EB Garamond" w:hAnsi="Garamond" w:cs="EB Garamond"/>
          <w:sz w:val="20"/>
          <w:szCs w:val="20"/>
          <w:vertAlign w:val="superscript"/>
        </w:rPr>
        <w:footnoteReference w:id="17"/>
      </w:r>
      <w:r w:rsidRPr="001A6FE3">
        <w:rPr>
          <w:rFonts w:ascii="Garamond" w:eastAsia="EB Garamond" w:hAnsi="Garamond" w:cs="EB Garamond"/>
          <w:sz w:val="20"/>
          <w:szCs w:val="20"/>
        </w:rPr>
        <w:t xml:space="preserve"> (Echeverría e Castillo, 2002, p. 199).</w:t>
      </w:r>
    </w:p>
    <w:p w14:paraId="7FC44395"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left="2267" w:right="-280" w:hanging="1700"/>
        <w:jc w:val="both"/>
        <w:rPr>
          <w:rFonts w:ascii="Garamond" w:eastAsia="EB Garamond" w:hAnsi="Garamond" w:cs="EB Garamond"/>
          <w:sz w:val="20"/>
          <w:szCs w:val="20"/>
        </w:rPr>
      </w:pPr>
    </w:p>
    <w:p w14:paraId="276197B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Para Carmen, há nessa memória uma força subversiva, cujo poder consiste em lançar novos entendimentos a um passado antes inacessível ao sujeito imerso em experiências trágicas. Nesse sentido, a memória é subversiva por possibilitar o diálogo entre sujeitos, a troca de experiências e, portanto, a criação de novas percepções. A própria autora, referindo-se diretamente a sua mãe, reconhece sua demora em desenvolver o diálogo que daria origem a </w:t>
      </w:r>
      <w:r w:rsidRPr="001A6FE3">
        <w:rPr>
          <w:rFonts w:ascii="Garamond" w:eastAsia="EB Garamond" w:hAnsi="Garamond" w:cs="EB Garamond"/>
          <w:i/>
          <w:sz w:val="24"/>
          <w:szCs w:val="24"/>
        </w:rPr>
        <w:t>Santiago-</w:t>
      </w:r>
      <w:proofErr w:type="spellStart"/>
      <w:r w:rsidRPr="001A6FE3">
        <w:rPr>
          <w:rFonts w:ascii="Garamond" w:eastAsia="EB Garamond" w:hAnsi="Garamond" w:cs="EB Garamond"/>
          <w:i/>
          <w:sz w:val="24"/>
          <w:szCs w:val="24"/>
        </w:rPr>
        <w:t>París</w:t>
      </w:r>
      <w:proofErr w:type="spellEnd"/>
      <w:r w:rsidRPr="001A6FE3">
        <w:rPr>
          <w:rFonts w:ascii="Garamond" w:eastAsia="EB Garamond" w:hAnsi="Garamond" w:cs="EB Garamond"/>
          <w:sz w:val="24"/>
          <w:szCs w:val="24"/>
        </w:rPr>
        <w:t>: “detenho-me neste diálogo contigo, Mónica, muito tempo depois, nesses momentos sobre os quais não pude te falar antes”</w:t>
      </w:r>
      <w:r w:rsidRPr="001A6FE3">
        <w:rPr>
          <w:rFonts w:ascii="Garamond" w:eastAsia="EB Garamond" w:hAnsi="Garamond" w:cs="EB Garamond"/>
          <w:sz w:val="24"/>
          <w:szCs w:val="24"/>
          <w:vertAlign w:val="superscript"/>
        </w:rPr>
        <w:footnoteReference w:id="18"/>
      </w:r>
      <w:r w:rsidRPr="001A6FE3">
        <w:rPr>
          <w:rFonts w:ascii="Garamond" w:eastAsia="EB Garamond" w:hAnsi="Garamond" w:cs="EB Garamond"/>
          <w:sz w:val="24"/>
          <w:szCs w:val="24"/>
        </w:rPr>
        <w:t xml:space="preserve"> (Echeverría e Castillo, 2002, p. 199).</w:t>
      </w:r>
    </w:p>
    <w:p w14:paraId="66058F82"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Carmen é, a princípio, alguém que </w:t>
      </w:r>
      <w:proofErr w:type="gramStart"/>
      <w:r w:rsidRPr="001A6FE3">
        <w:rPr>
          <w:rFonts w:ascii="Garamond" w:eastAsia="EB Garamond" w:hAnsi="Garamond" w:cs="EB Garamond"/>
          <w:sz w:val="24"/>
          <w:szCs w:val="24"/>
        </w:rPr>
        <w:t>obedece o</w:t>
      </w:r>
      <w:proofErr w:type="gramEnd"/>
      <w:r w:rsidRPr="001A6FE3">
        <w:rPr>
          <w:rFonts w:ascii="Garamond" w:eastAsia="EB Garamond" w:hAnsi="Garamond" w:cs="EB Garamond"/>
          <w:sz w:val="24"/>
          <w:szCs w:val="24"/>
        </w:rPr>
        <w:t xml:space="preserve"> partido, assume o papel da “viúva” que lhe é imposto, vê-se imergir em um espaço de periferia em que seu eu, seu potencial enquanto sujeito político é suprimido. Sua subversão, no entanto, está na transformação do isolamento em espaço de protesto, na recusa dos olhares de piedade. Ao mesmo tempo, ela permite fazer emergir sua capacidade de produzir memórias em um momento em que são fundamentais, constituindo-se mesmo em um dever.</w:t>
      </w:r>
    </w:p>
    <w:p w14:paraId="7E5F5420"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A ideia das memórias subversivas dos vencidos é uma perspectiva aplicável não apenas a Carmen Castillo, mas a toda uma geração. Não é por nada que Beatriz Sarlo (2007), analisando, a princípio, o caso da Argentina, enfatiza a memória como dever no contexto da ditadura civil-militar na América Latina. É o testemunho de sujeitos sobreviventes que permitiu a condenação do terrorismo de estado: “a ideia do ‘nunca mais’ se sustenta no fato de que sabemos a que nos referimos quando desejamos que isso não se repita” (SARLO, 2001, p. 20). No caso da Argentina, o testemunho tornou-se um instrumento jurídico, em espaços nos quais outras memórias foram destruídas pelos responsáveis. Foram elementos fundamentais para a transição democrática. Sem essas memórias, as condenações na Argentina não teriam sido possíveis. </w:t>
      </w:r>
    </w:p>
    <w:p w14:paraId="2A2B5107"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Essa perspectiva é reforçada por </w:t>
      </w:r>
      <w:proofErr w:type="spellStart"/>
      <w:r w:rsidRPr="001A6FE3">
        <w:rPr>
          <w:rFonts w:ascii="Garamond" w:eastAsia="EB Garamond" w:hAnsi="Garamond" w:cs="EB Garamond"/>
          <w:sz w:val="24"/>
          <w:szCs w:val="24"/>
        </w:rPr>
        <w:t>Tzvetan</w:t>
      </w:r>
      <w:proofErr w:type="spellEnd"/>
      <w:r w:rsidRPr="001A6FE3">
        <w:rPr>
          <w:rFonts w:ascii="Garamond" w:eastAsia="EB Garamond" w:hAnsi="Garamond" w:cs="EB Garamond"/>
          <w:sz w:val="24"/>
          <w:szCs w:val="24"/>
        </w:rPr>
        <w:t xml:space="preserve"> Todorov, em </w:t>
      </w:r>
      <w:r w:rsidRPr="001A6FE3">
        <w:rPr>
          <w:rFonts w:ascii="Garamond" w:eastAsia="EB Garamond" w:hAnsi="Garamond" w:cs="EB Garamond"/>
          <w:i/>
          <w:sz w:val="24"/>
          <w:szCs w:val="24"/>
        </w:rPr>
        <w:t xml:space="preserve">Los Abusos de </w:t>
      </w:r>
      <w:proofErr w:type="spellStart"/>
      <w:r w:rsidRPr="001A6FE3">
        <w:rPr>
          <w:rFonts w:ascii="Garamond" w:eastAsia="EB Garamond" w:hAnsi="Garamond" w:cs="EB Garamond"/>
          <w:i/>
          <w:sz w:val="24"/>
          <w:szCs w:val="24"/>
        </w:rPr>
        <w:t>la</w:t>
      </w:r>
      <w:proofErr w:type="spellEnd"/>
      <w:r w:rsidRPr="001A6FE3">
        <w:rPr>
          <w:rFonts w:ascii="Garamond" w:eastAsia="EB Garamond" w:hAnsi="Garamond" w:cs="EB Garamond"/>
          <w:i/>
          <w:sz w:val="24"/>
          <w:szCs w:val="24"/>
        </w:rPr>
        <w:t xml:space="preserve"> memoria</w:t>
      </w:r>
      <w:r w:rsidRPr="001A6FE3">
        <w:rPr>
          <w:rFonts w:ascii="Garamond" w:eastAsia="EB Garamond" w:hAnsi="Garamond" w:cs="EB Garamond"/>
          <w:sz w:val="24"/>
          <w:szCs w:val="24"/>
        </w:rPr>
        <w:t xml:space="preserve"> (2008), segundo o qual houve uma tendência, por parte dos regimes autoritários do século XX, de suprimir ou controlar as memórias. Nesse sentido, a memória passou a ser vista com bons olhos pelos que lutavam contra a tirania, de forma que toda reminiscência, por mais humilde, foi associada à resistência ao autoritarismo (Todorov, 2008, p. 14).</w:t>
      </w:r>
    </w:p>
    <w:p w14:paraId="5AD047B1"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Ao refletir sobre suas memórias, Carmen Castillo sente tratar de eventos alheios a ela própria: “digamos que eu conto sobre eventos ocorridos em outro lugar, em um país distante, para uma mulher desconhecida”</w:t>
      </w:r>
      <w:r w:rsidRPr="001A6FE3">
        <w:rPr>
          <w:rFonts w:ascii="Garamond" w:eastAsia="EB Garamond" w:hAnsi="Garamond" w:cs="EB Garamond"/>
          <w:sz w:val="24"/>
          <w:szCs w:val="24"/>
          <w:vertAlign w:val="superscript"/>
        </w:rPr>
        <w:footnoteReference w:id="19"/>
      </w:r>
      <w:r w:rsidRPr="001A6FE3">
        <w:rPr>
          <w:rFonts w:ascii="Garamond" w:eastAsia="EB Garamond" w:hAnsi="Garamond" w:cs="EB Garamond"/>
          <w:sz w:val="24"/>
          <w:szCs w:val="24"/>
        </w:rPr>
        <w:t xml:space="preserve"> (Echeverría e Castillo, 2002, p. 188). Ao mesmo tempo, no entanto, sua reformulação, por meio da escrita, é um lugar em que o sujeito revê não apenas sua história, mas a história de sua geração. A despeito dessa sensação de </w:t>
      </w:r>
      <w:r w:rsidRPr="001A6FE3">
        <w:rPr>
          <w:rFonts w:ascii="Garamond" w:eastAsia="EB Garamond" w:hAnsi="Garamond" w:cs="EB Garamond"/>
          <w:sz w:val="24"/>
          <w:szCs w:val="24"/>
        </w:rPr>
        <w:lastRenderedPageBreak/>
        <w:t xml:space="preserve">distanciamento, Carmen Castillo entende o mal do silêncio acerca daqueles momentos. Na esteira de Sarlo (2007) e Todorov (2008), tais silêncios se tornam empecilhos para a transição democrática, na medida em que o passado não é confrontado. </w:t>
      </w:r>
    </w:p>
    <w:p w14:paraId="035B3C7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Por fim, a necessidade da lembrança ganha ainda mais força ao se tratar de eventos trágicos. Segundo Todorov (2008), quando eventos vividos por um indivíduo ou por um grupo são excepcionais ou trágicos, o direito de se recordar e de testemunhar se torna um dever. Isso porque, uma vez elaboradas pelo poder, memórias fundamentais podem ser apagadas, dando margem ao negacionismo. </w:t>
      </w:r>
    </w:p>
    <w:p w14:paraId="5E2AD7E0"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59319224" w14:textId="3FD9E4AE"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both"/>
        <w:rPr>
          <w:rFonts w:ascii="Garamond" w:eastAsia="EB Garamond" w:hAnsi="Garamond" w:cs="EB Garamond"/>
          <w:b/>
          <w:sz w:val="24"/>
          <w:szCs w:val="24"/>
        </w:rPr>
      </w:pPr>
      <w:r w:rsidRPr="001A6FE3">
        <w:rPr>
          <w:rFonts w:ascii="Garamond" w:eastAsia="EB Garamond" w:hAnsi="Garamond" w:cs="EB Garamond"/>
          <w:b/>
          <w:sz w:val="24"/>
          <w:szCs w:val="24"/>
        </w:rPr>
        <w:t>CONSIDERAÇÕES FINAIS</w:t>
      </w:r>
    </w:p>
    <w:p w14:paraId="5DC05953"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372FB4B9"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A escrita é um instrumento de reaproximações e uma aliada da não rendição das memórias. Diz respeito, em primeiro lugar, ao sujeito imerso na experiência do exílio, permitindo-lhe construir memórias antes presas ao poder das experiências de morte e ruptura. Posteriormente, essas memórias, elaboradas e escritas, ganham interlocutores. Tais diálogos encontram, posteriormente, seu dever, num contexto em que o testemunho se faz fundamental. Representam ferramentas para se lidar com o passado, superá-lo e, consequentemente, construir um futuro.</w:t>
      </w:r>
    </w:p>
    <w:p w14:paraId="3C34E271"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O protesto de Carmen Castillo ocorre em um presente repleto de entraves e dores. É uma forma de se opor ao esquecimento, um caminho de resistência às feridas abertas pelo passado trágico. Sua trajetória – situada entre traumas, cortes, exílios, resistências, decisões importantes e conquista de espaços simbólicos – abre um importante precedente de resistência e luta contra a marginalização feminina e a busca por espaço político, fundamental para a construção democrática. </w:t>
      </w:r>
    </w:p>
    <w:p w14:paraId="53DFDC9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r w:rsidRPr="001A6FE3">
        <w:rPr>
          <w:rFonts w:ascii="Garamond" w:eastAsia="EB Garamond" w:hAnsi="Garamond" w:cs="EB Garamond"/>
          <w:sz w:val="24"/>
          <w:szCs w:val="24"/>
        </w:rPr>
        <w:t xml:space="preserve">Por fim, suas produções artísticas, entre livros e filmes, são uma importante ferramenta de reflexão acerca de um passado ainda recente que precisa ser confrontado. </w:t>
      </w:r>
    </w:p>
    <w:p w14:paraId="4E1EA15D"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firstLine="566"/>
        <w:jc w:val="both"/>
        <w:rPr>
          <w:rFonts w:ascii="Garamond" w:eastAsia="EB Garamond" w:hAnsi="Garamond" w:cs="EB Garamond"/>
          <w:sz w:val="24"/>
          <w:szCs w:val="24"/>
        </w:rPr>
      </w:pPr>
    </w:p>
    <w:p w14:paraId="0821471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both"/>
        <w:rPr>
          <w:rFonts w:ascii="Garamond" w:eastAsia="EB Garamond" w:hAnsi="Garamond" w:cs="EB Garamond"/>
          <w:b/>
          <w:sz w:val="24"/>
          <w:szCs w:val="24"/>
        </w:rPr>
      </w:pPr>
    </w:p>
    <w:p w14:paraId="7FB07904" w14:textId="2EFEEF84"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80"/>
        <w:jc w:val="center"/>
        <w:rPr>
          <w:rFonts w:ascii="Garamond" w:eastAsia="EB Garamond" w:hAnsi="Garamond" w:cs="EB Garamond"/>
          <w:b/>
          <w:sz w:val="24"/>
          <w:szCs w:val="24"/>
        </w:rPr>
      </w:pPr>
      <w:r w:rsidRPr="001A6FE3">
        <w:rPr>
          <w:rFonts w:ascii="Garamond" w:eastAsia="EB Garamond" w:hAnsi="Garamond" w:cs="EB Garamond"/>
          <w:b/>
          <w:sz w:val="24"/>
          <w:szCs w:val="24"/>
        </w:rPr>
        <w:t>REFERÊNCIAS</w:t>
      </w:r>
    </w:p>
    <w:p w14:paraId="301F9BD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EB Garamond" w:hAnsi="Garamond" w:cs="EB Garamond"/>
          <w:sz w:val="24"/>
          <w:szCs w:val="24"/>
        </w:rPr>
      </w:pPr>
      <w:r w:rsidRPr="001A6FE3">
        <w:rPr>
          <w:rFonts w:ascii="Garamond" w:eastAsia="EB Garamond" w:hAnsi="Garamond" w:cs="EB Garamond"/>
          <w:sz w:val="24"/>
          <w:szCs w:val="24"/>
        </w:rPr>
        <w:t xml:space="preserve">CASTILLO, Carmen. </w:t>
      </w:r>
      <w:r w:rsidRPr="001A6FE3">
        <w:rPr>
          <w:rFonts w:ascii="Garamond" w:eastAsia="EB Garamond" w:hAnsi="Garamond" w:cs="EB Garamond"/>
          <w:i/>
          <w:sz w:val="24"/>
          <w:szCs w:val="24"/>
        </w:rPr>
        <w:t>Un Jour d’</w:t>
      </w:r>
      <w:proofErr w:type="spellStart"/>
      <w:r w:rsidRPr="001A6FE3">
        <w:rPr>
          <w:rFonts w:ascii="Garamond" w:eastAsia="EB Garamond" w:hAnsi="Garamond" w:cs="EB Garamond"/>
          <w:i/>
          <w:sz w:val="24"/>
          <w:szCs w:val="24"/>
        </w:rPr>
        <w:t>Octobre</w:t>
      </w:r>
      <w:proofErr w:type="spellEnd"/>
      <w:r w:rsidRPr="001A6FE3">
        <w:rPr>
          <w:rFonts w:ascii="Garamond" w:eastAsia="EB Garamond" w:hAnsi="Garamond" w:cs="EB Garamond"/>
          <w:i/>
          <w:sz w:val="24"/>
          <w:szCs w:val="24"/>
        </w:rPr>
        <w:t xml:space="preserve"> à Santiago</w:t>
      </w:r>
      <w:r w:rsidRPr="001A6FE3">
        <w:rPr>
          <w:rFonts w:ascii="Garamond" w:eastAsia="EB Garamond" w:hAnsi="Garamond" w:cs="EB Garamond"/>
          <w:sz w:val="24"/>
          <w:szCs w:val="24"/>
        </w:rPr>
        <w:t xml:space="preserve">. Paris: </w:t>
      </w:r>
      <w:proofErr w:type="spellStart"/>
      <w:r w:rsidRPr="001A6FE3">
        <w:rPr>
          <w:rFonts w:ascii="Garamond" w:eastAsia="EB Garamond" w:hAnsi="Garamond" w:cs="EB Garamond"/>
          <w:sz w:val="24"/>
          <w:szCs w:val="24"/>
        </w:rPr>
        <w:t>Éditions</w:t>
      </w:r>
      <w:proofErr w:type="spellEnd"/>
      <w:r w:rsidRPr="001A6FE3">
        <w:rPr>
          <w:rFonts w:ascii="Garamond" w:eastAsia="EB Garamond" w:hAnsi="Garamond" w:cs="EB Garamond"/>
          <w:sz w:val="24"/>
          <w:szCs w:val="24"/>
        </w:rPr>
        <w:t xml:space="preserve"> Bernard Barrault, 1988.</w:t>
      </w:r>
    </w:p>
    <w:p w14:paraId="47AA7E0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EB Garamond" w:hAnsi="Garamond" w:cs="EB Garamond"/>
          <w:sz w:val="24"/>
          <w:szCs w:val="24"/>
        </w:rPr>
      </w:pPr>
      <w:r w:rsidRPr="001A6FE3">
        <w:rPr>
          <w:rFonts w:ascii="Garamond" w:eastAsia="EB Garamond" w:hAnsi="Garamond" w:cs="EB Garamond"/>
          <w:sz w:val="24"/>
          <w:szCs w:val="24"/>
        </w:rPr>
        <w:t xml:space="preserve">COSTA, Albertina de Oliveira; MORAES, Maria Teresa </w:t>
      </w:r>
      <w:proofErr w:type="spellStart"/>
      <w:r w:rsidRPr="001A6FE3">
        <w:rPr>
          <w:rFonts w:ascii="Garamond" w:eastAsia="EB Garamond" w:hAnsi="Garamond" w:cs="EB Garamond"/>
          <w:sz w:val="24"/>
          <w:szCs w:val="24"/>
        </w:rPr>
        <w:t>Porciuncula</w:t>
      </w:r>
      <w:proofErr w:type="spellEnd"/>
      <w:r w:rsidRPr="001A6FE3">
        <w:rPr>
          <w:rFonts w:ascii="Garamond" w:eastAsia="EB Garamond" w:hAnsi="Garamond" w:cs="EB Garamond"/>
          <w:sz w:val="24"/>
          <w:szCs w:val="24"/>
        </w:rPr>
        <w:t xml:space="preserve">; MARZOLA, Norma; LIMA, Valentina da Rocha. </w:t>
      </w:r>
      <w:r w:rsidRPr="001A6FE3">
        <w:rPr>
          <w:rFonts w:ascii="Garamond" w:eastAsia="EB Garamond" w:hAnsi="Garamond" w:cs="EB Garamond"/>
          <w:i/>
          <w:sz w:val="24"/>
          <w:szCs w:val="24"/>
        </w:rPr>
        <w:t>Memórias das Mulheres do Exílio.</w:t>
      </w:r>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Vol</w:t>
      </w:r>
      <w:proofErr w:type="spellEnd"/>
      <w:r w:rsidRPr="001A6FE3">
        <w:rPr>
          <w:rFonts w:ascii="Garamond" w:eastAsia="EB Garamond" w:hAnsi="Garamond" w:cs="EB Garamond"/>
          <w:sz w:val="24"/>
          <w:szCs w:val="24"/>
        </w:rPr>
        <w:t xml:space="preserve"> 2. Rio de Janeiro: Paz e Terra, 1980.</w:t>
      </w:r>
    </w:p>
    <w:p w14:paraId="72B14368"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EB Garamond" w:hAnsi="Garamond" w:cs="EB Garamond"/>
          <w:sz w:val="24"/>
          <w:szCs w:val="24"/>
        </w:rPr>
      </w:pPr>
      <w:r w:rsidRPr="00C91F5C">
        <w:rPr>
          <w:rFonts w:ascii="Garamond" w:eastAsia="EB Garamond" w:hAnsi="Garamond" w:cs="EB Garamond"/>
          <w:sz w:val="24"/>
          <w:szCs w:val="24"/>
          <w:lang w:val="en-US"/>
        </w:rPr>
        <w:t xml:space="preserve">DIDI-HUBERMAN, Georges. “Protestation de femmes </w:t>
      </w:r>
      <w:proofErr w:type="spellStart"/>
      <w:r w:rsidRPr="00C91F5C">
        <w:rPr>
          <w:rFonts w:ascii="Garamond" w:eastAsia="EB Garamond" w:hAnsi="Garamond" w:cs="EB Garamond"/>
          <w:sz w:val="24"/>
          <w:szCs w:val="24"/>
          <w:lang w:val="en-US"/>
        </w:rPr>
        <w:t>ou</w:t>
      </w:r>
      <w:proofErr w:type="spellEnd"/>
      <w:r w:rsidRPr="00C91F5C">
        <w:rPr>
          <w:rFonts w:ascii="Garamond" w:eastAsia="EB Garamond" w:hAnsi="Garamond" w:cs="EB Garamond"/>
          <w:sz w:val="24"/>
          <w:szCs w:val="24"/>
          <w:lang w:val="en-US"/>
        </w:rPr>
        <w:t xml:space="preserve"> comment </w:t>
      </w:r>
      <w:proofErr w:type="spellStart"/>
      <w:r w:rsidRPr="00C91F5C">
        <w:rPr>
          <w:rFonts w:ascii="Garamond" w:eastAsia="EB Garamond" w:hAnsi="Garamond" w:cs="EB Garamond"/>
          <w:sz w:val="24"/>
          <w:szCs w:val="24"/>
          <w:lang w:val="en-US"/>
        </w:rPr>
        <w:t>soulever</w:t>
      </w:r>
      <w:proofErr w:type="spellEnd"/>
      <w:r w:rsidRPr="00C91F5C">
        <w:rPr>
          <w:rFonts w:ascii="Garamond" w:eastAsia="EB Garamond" w:hAnsi="Garamond" w:cs="EB Garamond"/>
          <w:sz w:val="24"/>
          <w:szCs w:val="24"/>
          <w:lang w:val="en-US"/>
        </w:rPr>
        <w:t xml:space="preserve"> le politique”. </w:t>
      </w:r>
      <w:r w:rsidRPr="001A6FE3">
        <w:rPr>
          <w:rFonts w:ascii="Garamond" w:eastAsia="EB Garamond" w:hAnsi="Garamond" w:cs="EB Garamond"/>
          <w:i/>
          <w:sz w:val="24"/>
          <w:szCs w:val="24"/>
        </w:rPr>
        <w:t>In</w:t>
      </w:r>
      <w:r w:rsidRPr="001A6FE3">
        <w:rPr>
          <w:rFonts w:ascii="Garamond" w:eastAsia="EB Garamond" w:hAnsi="Garamond" w:cs="EB Garamond"/>
          <w:sz w:val="24"/>
          <w:szCs w:val="24"/>
        </w:rPr>
        <w:t xml:space="preserve">: </w:t>
      </w:r>
      <w:r w:rsidRPr="001A6FE3">
        <w:rPr>
          <w:rFonts w:ascii="Garamond" w:eastAsia="EB Garamond" w:hAnsi="Garamond" w:cs="EB Garamond"/>
          <w:i/>
          <w:sz w:val="24"/>
          <w:szCs w:val="24"/>
        </w:rPr>
        <w:t>Ninfa dolorosa</w:t>
      </w:r>
      <w:r w:rsidRPr="001A6FE3">
        <w:rPr>
          <w:rFonts w:ascii="Garamond" w:eastAsia="EB Garamond" w:hAnsi="Garamond" w:cs="EB Garamond"/>
          <w:sz w:val="24"/>
          <w:szCs w:val="24"/>
        </w:rPr>
        <w:t>. Paris: Gallimard, 2002, p. 193-238.</w:t>
      </w:r>
    </w:p>
    <w:p w14:paraId="1573D276"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EB Garamond" w:hAnsi="Garamond" w:cs="EB Garamond"/>
          <w:sz w:val="24"/>
          <w:szCs w:val="24"/>
        </w:rPr>
      </w:pPr>
      <w:r w:rsidRPr="001A6FE3">
        <w:rPr>
          <w:rFonts w:ascii="Garamond" w:eastAsia="EB Garamond" w:hAnsi="Garamond" w:cs="EB Garamond"/>
          <w:sz w:val="24"/>
          <w:szCs w:val="24"/>
        </w:rPr>
        <w:t xml:space="preserve">ECHEVERRÍA, Mónica; Castillo, Carmen. </w:t>
      </w:r>
      <w:r w:rsidRPr="001A6FE3">
        <w:rPr>
          <w:rFonts w:ascii="Garamond" w:eastAsia="EB Garamond" w:hAnsi="Garamond" w:cs="EB Garamond"/>
          <w:i/>
          <w:sz w:val="24"/>
          <w:szCs w:val="24"/>
        </w:rPr>
        <w:t>Santiago-</w:t>
      </w:r>
      <w:proofErr w:type="spellStart"/>
      <w:r w:rsidRPr="001A6FE3">
        <w:rPr>
          <w:rFonts w:ascii="Garamond" w:eastAsia="EB Garamond" w:hAnsi="Garamond" w:cs="EB Garamond"/>
          <w:i/>
          <w:sz w:val="24"/>
          <w:szCs w:val="24"/>
        </w:rPr>
        <w:t>París</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le</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vol</w:t>
      </w:r>
      <w:proofErr w:type="spellEnd"/>
      <w:r w:rsidRPr="001A6FE3">
        <w:rPr>
          <w:rFonts w:ascii="Garamond" w:eastAsia="EB Garamond" w:hAnsi="Garamond" w:cs="EB Garamond"/>
          <w:sz w:val="24"/>
          <w:szCs w:val="24"/>
        </w:rPr>
        <w:t xml:space="preserve"> de </w:t>
      </w:r>
      <w:proofErr w:type="spellStart"/>
      <w:r w:rsidRPr="001A6FE3">
        <w:rPr>
          <w:rFonts w:ascii="Garamond" w:eastAsia="EB Garamond" w:hAnsi="Garamond" w:cs="EB Garamond"/>
          <w:sz w:val="24"/>
          <w:szCs w:val="24"/>
        </w:rPr>
        <w:t>la</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mémoire</w:t>
      </w:r>
      <w:proofErr w:type="spellEnd"/>
      <w:r w:rsidRPr="001A6FE3">
        <w:rPr>
          <w:rFonts w:ascii="Garamond" w:eastAsia="EB Garamond" w:hAnsi="Garamond" w:cs="EB Garamond"/>
          <w:sz w:val="24"/>
          <w:szCs w:val="24"/>
        </w:rPr>
        <w:t>. Paris: Plon, 2002.</w:t>
      </w:r>
    </w:p>
    <w:p w14:paraId="175DBF14"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EB Garamond" w:hAnsi="Garamond" w:cs="EB Garamond"/>
          <w:sz w:val="24"/>
          <w:szCs w:val="24"/>
        </w:rPr>
      </w:pPr>
      <w:r w:rsidRPr="001A6FE3">
        <w:rPr>
          <w:rFonts w:ascii="Garamond" w:eastAsia="EB Garamond" w:hAnsi="Garamond" w:cs="EB Garamond"/>
          <w:sz w:val="24"/>
          <w:szCs w:val="24"/>
        </w:rPr>
        <w:t xml:space="preserve">ROLLEMBERG, Denise. </w:t>
      </w:r>
      <w:r w:rsidRPr="001A6FE3">
        <w:rPr>
          <w:rFonts w:ascii="Garamond" w:eastAsia="EB Garamond" w:hAnsi="Garamond" w:cs="EB Garamond"/>
          <w:i/>
          <w:sz w:val="24"/>
          <w:szCs w:val="24"/>
        </w:rPr>
        <w:t>Exílio</w:t>
      </w:r>
      <w:r w:rsidRPr="001A6FE3">
        <w:rPr>
          <w:rFonts w:ascii="Garamond" w:eastAsia="EB Garamond" w:hAnsi="Garamond" w:cs="EB Garamond"/>
          <w:sz w:val="24"/>
          <w:szCs w:val="24"/>
        </w:rPr>
        <w:t xml:space="preserve">: entre Raízes e Radares. Rio de Janeiro: Editora Record, 1999. </w:t>
      </w:r>
    </w:p>
    <w:p w14:paraId="02781D50"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EB Garamond" w:hAnsi="Garamond" w:cs="EB Garamond"/>
          <w:sz w:val="24"/>
          <w:szCs w:val="24"/>
        </w:rPr>
      </w:pPr>
      <w:r w:rsidRPr="001A6FE3">
        <w:rPr>
          <w:rFonts w:ascii="Garamond" w:eastAsia="EB Garamond" w:hAnsi="Garamond" w:cs="EB Garamond"/>
          <w:sz w:val="24"/>
          <w:szCs w:val="24"/>
        </w:rPr>
        <w:lastRenderedPageBreak/>
        <w:t xml:space="preserve">ROSA, </w:t>
      </w:r>
      <w:proofErr w:type="spellStart"/>
      <w:r w:rsidRPr="001A6FE3">
        <w:rPr>
          <w:rFonts w:ascii="Garamond" w:eastAsia="EB Garamond" w:hAnsi="Garamond" w:cs="EB Garamond"/>
          <w:sz w:val="24"/>
          <w:szCs w:val="24"/>
        </w:rPr>
        <w:t>Susel</w:t>
      </w:r>
      <w:proofErr w:type="spellEnd"/>
      <w:r w:rsidRPr="001A6FE3">
        <w:rPr>
          <w:rFonts w:ascii="Garamond" w:eastAsia="EB Garamond" w:hAnsi="Garamond" w:cs="EB Garamond"/>
          <w:sz w:val="24"/>
          <w:szCs w:val="24"/>
        </w:rPr>
        <w:t xml:space="preserve"> Oliveira da. </w:t>
      </w:r>
      <w:r w:rsidRPr="001A6FE3">
        <w:rPr>
          <w:rFonts w:ascii="Garamond" w:eastAsia="EB Garamond" w:hAnsi="Garamond" w:cs="EB Garamond"/>
          <w:i/>
          <w:sz w:val="24"/>
          <w:szCs w:val="24"/>
        </w:rPr>
        <w:t>Mulheres, ditaduras e memórias</w:t>
      </w:r>
      <w:r w:rsidRPr="001A6FE3">
        <w:rPr>
          <w:rFonts w:ascii="Garamond" w:eastAsia="EB Garamond" w:hAnsi="Garamond" w:cs="EB Garamond"/>
          <w:sz w:val="24"/>
          <w:szCs w:val="24"/>
        </w:rPr>
        <w:t xml:space="preserve">: não imagine que precise ser triste para ser militante. São Paulo: </w:t>
      </w:r>
      <w:proofErr w:type="spellStart"/>
      <w:r w:rsidRPr="001A6FE3">
        <w:rPr>
          <w:rFonts w:ascii="Garamond" w:eastAsia="EB Garamond" w:hAnsi="Garamond" w:cs="EB Garamond"/>
          <w:sz w:val="24"/>
          <w:szCs w:val="24"/>
        </w:rPr>
        <w:t>Intermeios</w:t>
      </w:r>
      <w:proofErr w:type="spellEnd"/>
      <w:r w:rsidRPr="001A6FE3">
        <w:rPr>
          <w:rFonts w:ascii="Garamond" w:eastAsia="EB Garamond" w:hAnsi="Garamond" w:cs="EB Garamond"/>
          <w:sz w:val="24"/>
          <w:szCs w:val="24"/>
        </w:rPr>
        <w:t>; Fapesp, 2013.</w:t>
      </w:r>
    </w:p>
    <w:p w14:paraId="55093EA2"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Times New Roman" w:hAnsi="Garamond"/>
          <w:sz w:val="24"/>
          <w:szCs w:val="24"/>
        </w:rPr>
      </w:pPr>
      <w:r w:rsidRPr="001A6FE3">
        <w:rPr>
          <w:rFonts w:ascii="Garamond" w:eastAsia="Times New Roman" w:hAnsi="Garamond"/>
          <w:sz w:val="24"/>
          <w:szCs w:val="24"/>
        </w:rPr>
        <w:t xml:space="preserve">SIMÕES, Silvia Sônia. </w:t>
      </w:r>
      <w:r w:rsidRPr="001A6FE3">
        <w:rPr>
          <w:rFonts w:ascii="Garamond" w:eastAsia="Times New Roman" w:hAnsi="Garamond"/>
          <w:i/>
          <w:sz w:val="24"/>
          <w:szCs w:val="24"/>
        </w:rPr>
        <w:t>O Golpe de Estado e a primeira fase da Ditadura militar no Chile.</w:t>
      </w:r>
      <w:r w:rsidRPr="001A6FE3">
        <w:rPr>
          <w:rFonts w:ascii="Garamond" w:eastAsia="Times New Roman" w:hAnsi="Garamond"/>
          <w:sz w:val="24"/>
          <w:szCs w:val="24"/>
        </w:rPr>
        <w:t xml:space="preserve"> Espaço Plural, vol. XIII, núm. 27, 2012. Disponível em: &lt;</w:t>
      </w:r>
      <w:hyperlink r:id="rId15">
        <w:r w:rsidRPr="001A6FE3">
          <w:rPr>
            <w:rFonts w:ascii="Garamond" w:eastAsia="Times New Roman" w:hAnsi="Garamond"/>
            <w:sz w:val="24"/>
            <w:szCs w:val="24"/>
          </w:rPr>
          <w:t>http://www.redalyc.org/articulo.oa?id=445944369014</w:t>
        </w:r>
      </w:hyperlink>
      <w:r w:rsidRPr="001A6FE3">
        <w:rPr>
          <w:rFonts w:ascii="Garamond" w:eastAsia="Times New Roman" w:hAnsi="Garamond"/>
          <w:sz w:val="24"/>
          <w:szCs w:val="24"/>
        </w:rPr>
        <w:t xml:space="preserve">&gt; Acesso em: 21/09/2022. </w:t>
      </w:r>
    </w:p>
    <w:p w14:paraId="5EB4AC03"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rPr>
          <w:rFonts w:ascii="Garamond" w:eastAsia="EB Garamond" w:hAnsi="Garamond" w:cs="EB Garamond"/>
          <w:sz w:val="24"/>
          <w:szCs w:val="24"/>
        </w:rPr>
      </w:pPr>
      <w:r w:rsidRPr="001A6FE3">
        <w:rPr>
          <w:rFonts w:ascii="Garamond" w:eastAsia="EB Garamond" w:hAnsi="Garamond" w:cs="EB Garamond"/>
          <w:sz w:val="24"/>
          <w:szCs w:val="24"/>
        </w:rPr>
        <w:t xml:space="preserve">SÓFOCLES. </w:t>
      </w:r>
      <w:r w:rsidRPr="001A6FE3">
        <w:rPr>
          <w:rFonts w:ascii="Garamond" w:eastAsia="EB Garamond" w:hAnsi="Garamond" w:cs="EB Garamond"/>
          <w:i/>
          <w:sz w:val="24"/>
          <w:szCs w:val="24"/>
        </w:rPr>
        <w:t xml:space="preserve">Édipo Rei - </w:t>
      </w:r>
      <w:proofErr w:type="spellStart"/>
      <w:r w:rsidRPr="001A6FE3">
        <w:rPr>
          <w:rFonts w:ascii="Garamond" w:eastAsia="EB Garamond" w:hAnsi="Garamond" w:cs="EB Garamond"/>
          <w:i/>
          <w:sz w:val="24"/>
          <w:szCs w:val="24"/>
        </w:rPr>
        <w:t>Antigona</w:t>
      </w:r>
      <w:proofErr w:type="spellEnd"/>
      <w:r w:rsidRPr="001A6FE3">
        <w:rPr>
          <w:rFonts w:ascii="Garamond" w:eastAsia="EB Garamond" w:hAnsi="Garamond" w:cs="EB Garamond"/>
          <w:sz w:val="24"/>
          <w:szCs w:val="24"/>
        </w:rPr>
        <w:t>. São Paulo: Martin Claret Editora, 2007.</w:t>
      </w:r>
    </w:p>
    <w:p w14:paraId="5437D3CB"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200" w:after="0" w:line="240" w:lineRule="auto"/>
        <w:ind w:right="-280"/>
        <w:jc w:val="both"/>
        <w:rPr>
          <w:rFonts w:ascii="Garamond" w:eastAsia="EB Garamond" w:hAnsi="Garamond" w:cs="EB Garamond"/>
          <w:sz w:val="24"/>
          <w:szCs w:val="24"/>
        </w:rPr>
      </w:pPr>
      <w:r w:rsidRPr="001A6FE3">
        <w:rPr>
          <w:rFonts w:ascii="Garamond" w:eastAsia="EB Garamond" w:hAnsi="Garamond" w:cs="EB Garamond"/>
          <w:sz w:val="24"/>
          <w:szCs w:val="24"/>
        </w:rPr>
        <w:t xml:space="preserve">TODOROV, </w:t>
      </w:r>
      <w:proofErr w:type="spellStart"/>
      <w:r w:rsidRPr="001A6FE3">
        <w:rPr>
          <w:rFonts w:ascii="Garamond" w:eastAsia="EB Garamond" w:hAnsi="Garamond" w:cs="EB Garamond"/>
          <w:sz w:val="24"/>
          <w:szCs w:val="24"/>
        </w:rPr>
        <w:t>Tzvetan</w:t>
      </w:r>
      <w:proofErr w:type="spellEnd"/>
      <w:r w:rsidRPr="001A6FE3">
        <w:rPr>
          <w:rFonts w:ascii="Garamond" w:eastAsia="EB Garamond" w:hAnsi="Garamond" w:cs="EB Garamond"/>
          <w:sz w:val="24"/>
          <w:szCs w:val="24"/>
        </w:rPr>
        <w:t xml:space="preserve">. </w:t>
      </w:r>
      <w:r w:rsidRPr="001A6FE3">
        <w:rPr>
          <w:rFonts w:ascii="Garamond" w:eastAsia="EB Garamond" w:hAnsi="Garamond" w:cs="EB Garamond"/>
          <w:i/>
          <w:sz w:val="24"/>
          <w:szCs w:val="24"/>
        </w:rPr>
        <w:t xml:space="preserve">Los abusos de </w:t>
      </w:r>
      <w:proofErr w:type="spellStart"/>
      <w:r w:rsidRPr="001A6FE3">
        <w:rPr>
          <w:rFonts w:ascii="Garamond" w:eastAsia="EB Garamond" w:hAnsi="Garamond" w:cs="EB Garamond"/>
          <w:i/>
          <w:sz w:val="24"/>
          <w:szCs w:val="24"/>
        </w:rPr>
        <w:t>la</w:t>
      </w:r>
      <w:proofErr w:type="spellEnd"/>
      <w:r w:rsidRPr="001A6FE3">
        <w:rPr>
          <w:rFonts w:ascii="Garamond" w:eastAsia="EB Garamond" w:hAnsi="Garamond" w:cs="EB Garamond"/>
          <w:i/>
          <w:sz w:val="24"/>
          <w:szCs w:val="24"/>
        </w:rPr>
        <w:t xml:space="preserve"> memoria</w:t>
      </w:r>
      <w:r w:rsidRPr="001A6FE3">
        <w:rPr>
          <w:rFonts w:ascii="Garamond" w:eastAsia="EB Garamond" w:hAnsi="Garamond" w:cs="EB Garamond"/>
          <w:sz w:val="24"/>
          <w:szCs w:val="24"/>
        </w:rPr>
        <w:t xml:space="preserve">. Trad. Miguel Salazar. Barcelona: </w:t>
      </w:r>
      <w:proofErr w:type="spellStart"/>
      <w:r w:rsidRPr="001A6FE3">
        <w:rPr>
          <w:rFonts w:ascii="Garamond" w:eastAsia="EB Garamond" w:hAnsi="Garamond" w:cs="EB Garamond"/>
          <w:sz w:val="24"/>
          <w:szCs w:val="24"/>
        </w:rPr>
        <w:t>Ediciones</w:t>
      </w:r>
      <w:proofErr w:type="spellEnd"/>
      <w:r w:rsidRPr="001A6FE3">
        <w:rPr>
          <w:rFonts w:ascii="Garamond" w:eastAsia="EB Garamond" w:hAnsi="Garamond" w:cs="EB Garamond"/>
          <w:sz w:val="24"/>
          <w:szCs w:val="24"/>
        </w:rPr>
        <w:t xml:space="preserve"> </w:t>
      </w:r>
      <w:proofErr w:type="spellStart"/>
      <w:r w:rsidRPr="001A6FE3">
        <w:rPr>
          <w:rFonts w:ascii="Garamond" w:eastAsia="EB Garamond" w:hAnsi="Garamond" w:cs="EB Garamond"/>
          <w:sz w:val="24"/>
          <w:szCs w:val="24"/>
        </w:rPr>
        <w:t>Paidós</w:t>
      </w:r>
      <w:proofErr w:type="spellEnd"/>
      <w:r w:rsidRPr="001A6FE3">
        <w:rPr>
          <w:rFonts w:ascii="Garamond" w:eastAsia="EB Garamond" w:hAnsi="Garamond" w:cs="EB Garamond"/>
          <w:sz w:val="24"/>
          <w:szCs w:val="24"/>
        </w:rPr>
        <w:t xml:space="preserve"> Ibérica S.A, 2008.</w:t>
      </w:r>
    </w:p>
    <w:p w14:paraId="7CC4F161" w14:textId="77777777" w:rsidR="001A6FE3" w:rsidRP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before="120" w:after="0" w:line="240" w:lineRule="auto"/>
        <w:ind w:right="-280"/>
        <w:rPr>
          <w:rFonts w:ascii="Garamond" w:eastAsia="Times New Roman" w:hAnsi="Garamond"/>
          <w:sz w:val="24"/>
          <w:szCs w:val="24"/>
        </w:rPr>
      </w:pPr>
      <w:r w:rsidRPr="001A6FE3">
        <w:rPr>
          <w:rFonts w:ascii="Garamond" w:eastAsia="Times New Roman" w:hAnsi="Garamond"/>
          <w:sz w:val="24"/>
          <w:szCs w:val="24"/>
        </w:rPr>
        <w:t xml:space="preserve">VOVELLE, M. A história dos homens no espelho da morte. In: BRAET, H.; VERBEKE, W. </w:t>
      </w:r>
      <w:r w:rsidRPr="001A6FE3">
        <w:rPr>
          <w:rFonts w:ascii="Garamond" w:eastAsia="Times New Roman" w:hAnsi="Garamond"/>
          <w:i/>
          <w:sz w:val="24"/>
          <w:szCs w:val="24"/>
        </w:rPr>
        <w:t>A morte na Idade Média</w:t>
      </w:r>
      <w:r w:rsidRPr="001A6FE3">
        <w:rPr>
          <w:rFonts w:ascii="Garamond" w:eastAsia="Times New Roman" w:hAnsi="Garamond"/>
          <w:sz w:val="24"/>
          <w:szCs w:val="24"/>
        </w:rPr>
        <w:t>. Trad. Heitor Megale. São Paulo: Edusp, 1996, p. 11-26.</w:t>
      </w:r>
    </w:p>
    <w:p w14:paraId="0E3EDBD8" w14:textId="77777777" w:rsidR="001A6FE3" w:rsidRDefault="001A6FE3" w:rsidP="00C91F5C">
      <w:pPr>
        <w:spacing w:after="0" w:line="240" w:lineRule="auto"/>
        <w:jc w:val="both"/>
        <w:rPr>
          <w:rFonts w:ascii="Garamond" w:hAnsi="Garamond"/>
          <w:sz w:val="24"/>
          <w:szCs w:val="24"/>
          <w:lang w:val="en-US"/>
        </w:rPr>
      </w:pPr>
    </w:p>
    <w:p w14:paraId="7551E46C" w14:textId="1436D83F" w:rsidR="00C91F5C" w:rsidRPr="00837461" w:rsidRDefault="00C91F5C" w:rsidP="00C91F5C">
      <w:pPr>
        <w:tabs>
          <w:tab w:val="left" w:pos="0"/>
        </w:tabs>
        <w:spacing w:after="0" w:line="240" w:lineRule="auto"/>
        <w:jc w:val="right"/>
        <w:rPr>
          <w:rFonts w:ascii="Garamond" w:hAnsi="Garamond"/>
          <w:b/>
          <w:sz w:val="21"/>
          <w:szCs w:val="21"/>
        </w:rPr>
      </w:pPr>
      <w:r w:rsidRPr="00837461">
        <w:rPr>
          <w:rFonts w:ascii="Garamond" w:hAnsi="Garamond"/>
          <w:b/>
          <w:sz w:val="21"/>
          <w:szCs w:val="21"/>
        </w:rPr>
        <w:t>Submetido em 2</w:t>
      </w:r>
      <w:r>
        <w:rPr>
          <w:rFonts w:ascii="Garamond" w:hAnsi="Garamond"/>
          <w:b/>
          <w:sz w:val="21"/>
          <w:szCs w:val="21"/>
        </w:rPr>
        <w:t>1</w:t>
      </w:r>
      <w:r w:rsidRPr="00837461">
        <w:rPr>
          <w:rFonts w:ascii="Garamond" w:hAnsi="Garamond"/>
          <w:b/>
          <w:sz w:val="21"/>
          <w:szCs w:val="21"/>
        </w:rPr>
        <w:t xml:space="preserve"> de </w:t>
      </w:r>
      <w:r>
        <w:rPr>
          <w:rFonts w:ascii="Garamond" w:hAnsi="Garamond"/>
          <w:b/>
          <w:sz w:val="21"/>
          <w:szCs w:val="21"/>
        </w:rPr>
        <w:t>julho</w:t>
      </w:r>
      <w:r w:rsidRPr="00837461">
        <w:rPr>
          <w:rFonts w:ascii="Garamond" w:hAnsi="Garamond"/>
          <w:b/>
          <w:sz w:val="21"/>
          <w:szCs w:val="21"/>
        </w:rPr>
        <w:t xml:space="preserve"> de 202</w:t>
      </w:r>
      <w:r>
        <w:rPr>
          <w:rFonts w:ascii="Garamond" w:hAnsi="Garamond"/>
          <w:b/>
          <w:sz w:val="21"/>
          <w:szCs w:val="21"/>
        </w:rPr>
        <w:t>5</w:t>
      </w:r>
    </w:p>
    <w:p w14:paraId="61B4EAB5" w14:textId="08613DE2" w:rsidR="00C91F5C" w:rsidRPr="00837461" w:rsidRDefault="00C91F5C" w:rsidP="00C91F5C">
      <w:pPr>
        <w:tabs>
          <w:tab w:val="left" w:pos="0"/>
        </w:tabs>
        <w:spacing w:after="0" w:line="240" w:lineRule="auto"/>
        <w:jc w:val="right"/>
        <w:rPr>
          <w:rFonts w:ascii="Garamond" w:hAnsi="Garamond"/>
          <w:b/>
          <w:sz w:val="21"/>
          <w:szCs w:val="21"/>
        </w:rPr>
      </w:pPr>
      <w:r w:rsidRPr="00837461">
        <w:rPr>
          <w:rFonts w:ascii="Garamond" w:hAnsi="Garamond"/>
          <w:b/>
          <w:sz w:val="21"/>
          <w:szCs w:val="21"/>
        </w:rPr>
        <w:t xml:space="preserve">Aceito para publicação em </w:t>
      </w:r>
      <w:r>
        <w:rPr>
          <w:rFonts w:ascii="Garamond" w:hAnsi="Garamond"/>
          <w:b/>
          <w:sz w:val="21"/>
          <w:szCs w:val="21"/>
        </w:rPr>
        <w:t>1</w:t>
      </w:r>
      <w:r>
        <w:rPr>
          <w:rFonts w:ascii="Garamond" w:hAnsi="Garamond"/>
          <w:b/>
          <w:sz w:val="21"/>
          <w:szCs w:val="21"/>
        </w:rPr>
        <w:t>1</w:t>
      </w:r>
      <w:r w:rsidRPr="00837461">
        <w:rPr>
          <w:rFonts w:ascii="Garamond" w:hAnsi="Garamond"/>
          <w:b/>
          <w:sz w:val="21"/>
          <w:szCs w:val="21"/>
        </w:rPr>
        <w:t xml:space="preserve"> de </w:t>
      </w:r>
      <w:r>
        <w:rPr>
          <w:rFonts w:ascii="Garamond" w:hAnsi="Garamond"/>
          <w:b/>
          <w:sz w:val="21"/>
          <w:szCs w:val="21"/>
        </w:rPr>
        <w:t>outubro</w:t>
      </w:r>
      <w:r w:rsidRPr="00837461">
        <w:rPr>
          <w:rFonts w:ascii="Garamond" w:hAnsi="Garamond"/>
          <w:b/>
          <w:sz w:val="21"/>
          <w:szCs w:val="21"/>
        </w:rPr>
        <w:t xml:space="preserve"> de 2025</w:t>
      </w:r>
    </w:p>
    <w:bookmarkEnd w:id="1"/>
    <w:bookmarkEnd w:id="2"/>
    <w:p w14:paraId="0B2D4CE0" w14:textId="77777777" w:rsidR="00C91F5C" w:rsidRPr="00C91F5C" w:rsidRDefault="00C91F5C" w:rsidP="00C91F5C">
      <w:pPr>
        <w:spacing w:after="0" w:line="240" w:lineRule="auto"/>
        <w:jc w:val="right"/>
        <w:rPr>
          <w:rFonts w:ascii="Garamond" w:hAnsi="Garamond"/>
          <w:sz w:val="24"/>
          <w:szCs w:val="24"/>
        </w:rPr>
      </w:pPr>
    </w:p>
    <w:sectPr w:rsidR="00C91F5C" w:rsidRPr="00C91F5C" w:rsidSect="00C91F5C">
      <w:headerReference w:type="even" r:id="rId16"/>
      <w:headerReference w:type="default" r:id="rId17"/>
      <w:footerReference w:type="even" r:id="rId18"/>
      <w:footerReference w:type="default" r:id="rId19"/>
      <w:headerReference w:type="first" r:id="rId20"/>
      <w:footerReference w:type="first" r:id="rId21"/>
      <w:pgSz w:w="11057" w:h="15309"/>
      <w:pgMar w:top="1843" w:right="1134" w:bottom="1134" w:left="1701" w:header="709" w:footer="907" w:gutter="0"/>
      <w:pgNumType w:start="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B1CF0" w14:textId="77777777" w:rsidR="008E1510" w:rsidRDefault="008E1510" w:rsidP="00846D38">
      <w:pPr>
        <w:spacing w:after="0" w:line="240" w:lineRule="auto"/>
      </w:pPr>
      <w:r>
        <w:separator/>
      </w:r>
    </w:p>
  </w:endnote>
  <w:endnote w:type="continuationSeparator" w:id="0">
    <w:p w14:paraId="369DED9C" w14:textId="77777777" w:rsidR="008E1510" w:rsidRDefault="008E1510" w:rsidP="00846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DGGMNC+TimesNewRoman">
    <w:altName w:val="Times New Roman"/>
    <w:panose1 w:val="020B0604020202020204"/>
    <w:charset w:val="00"/>
    <w:family w:val="roman"/>
    <w:notTrueType/>
    <w:pitch w:val="default"/>
    <w:sig w:usb0="00000003" w:usb1="00000000" w:usb2="00000000" w:usb3="00000000" w:csb0="00000001" w:csb1="00000000"/>
  </w:font>
  <w:font w:name="Adobe Garamond Pro">
    <w:panose1 w:val="020B0604020202020204"/>
    <w:charset w:val="00"/>
    <w:family w:val="roman"/>
    <w:notTrueType/>
    <w:pitch w:val="variable"/>
    <w:sig w:usb0="00000007" w:usb1="00000001" w:usb2="00000000" w:usb3="00000000" w:csb0="00000093" w:csb1="00000000"/>
  </w:font>
  <w:font w:name="Gill Sans">
    <w:panose1 w:val="020B0502020104020203"/>
    <w:charset w:val="B1"/>
    <w:family w:val="swiss"/>
    <w:pitch w:val="variable"/>
    <w:sig w:usb0="80000A67" w:usb1="00000000" w:usb2="00000000" w:usb3="00000000" w:csb0="000001F7" w:csb1="00000000"/>
  </w:font>
  <w:font w:name="Gill Sans Std">
    <w:altName w:val="Gill Sans MT"/>
    <w:panose1 w:val="020B0502020104020203"/>
    <w:charset w:val="B1"/>
    <w:family w:val="swiss"/>
    <w:pitch w:val="variable"/>
    <w:sig w:usb0="80000A67" w:usb1="00000000" w:usb2="00000000" w:usb3="00000000" w:csb0="000001F7" w:csb1="00000000"/>
  </w:font>
  <w:font w:name="Gill Sans MT">
    <w:panose1 w:val="020B0502020104020203"/>
    <w:charset w:val="4D"/>
    <w:family w:val="swiss"/>
    <w:pitch w:val="variable"/>
    <w:sig w:usb0="00000003" w:usb1="00000000" w:usb2="00000000" w:usb3="00000000" w:csb0="00000003" w:csb1="00000000"/>
  </w:font>
  <w:font w:name="Garamond">
    <w:panose1 w:val="02020404030301010803"/>
    <w:charset w:val="00"/>
    <w:family w:val="roman"/>
    <w:pitch w:val="variable"/>
    <w:sig w:usb0="00000287" w:usb1="00000002" w:usb2="00000000" w:usb3="00000000" w:csb0="0000009F" w:csb1="00000000"/>
  </w:font>
  <w:font w:name="EB Garamond">
    <w:panose1 w:val="00000500000000000000"/>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1DB2E" w14:textId="77777777" w:rsidR="00C91F5C" w:rsidRDefault="00C91F5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rPr>
      <w:id w:val="1558116254"/>
      <w:docPartObj>
        <w:docPartGallery w:val="Page Numbers (Bottom of Page)"/>
        <w:docPartUnique/>
      </w:docPartObj>
    </w:sdtPr>
    <w:sdtContent>
      <w:p w14:paraId="16731D91" w14:textId="2CE1D8F7" w:rsidR="0070612C" w:rsidRPr="0070612C" w:rsidRDefault="0070612C">
        <w:pPr>
          <w:pStyle w:val="Rodap"/>
          <w:jc w:val="right"/>
          <w:rPr>
            <w:rFonts w:ascii="Garamond" w:hAnsi="Garamond"/>
          </w:rPr>
        </w:pPr>
        <w:r w:rsidRPr="0070612C">
          <w:rPr>
            <w:rFonts w:ascii="Garamond" w:hAnsi="Garamond"/>
          </w:rPr>
          <w:fldChar w:fldCharType="begin"/>
        </w:r>
        <w:r w:rsidRPr="0070612C">
          <w:rPr>
            <w:rFonts w:ascii="Garamond" w:hAnsi="Garamond"/>
          </w:rPr>
          <w:instrText>PAGE   \* MERGEFORMAT</w:instrText>
        </w:r>
        <w:r w:rsidRPr="0070612C">
          <w:rPr>
            <w:rFonts w:ascii="Garamond" w:hAnsi="Garamond"/>
          </w:rPr>
          <w:fldChar w:fldCharType="separate"/>
        </w:r>
        <w:r w:rsidR="00130B69">
          <w:rPr>
            <w:rFonts w:ascii="Garamond" w:hAnsi="Garamond"/>
            <w:noProof/>
          </w:rPr>
          <w:t>52</w:t>
        </w:r>
        <w:r w:rsidRPr="0070612C">
          <w:rPr>
            <w:rFonts w:ascii="Garamond" w:hAnsi="Garamond"/>
          </w:rPr>
          <w:fldChar w:fldCharType="end"/>
        </w:r>
      </w:p>
    </w:sdtContent>
  </w:sdt>
  <w:p w14:paraId="0B92E240" w14:textId="77777777" w:rsidR="00D10792" w:rsidRDefault="00D1079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8493C" w14:textId="77777777" w:rsidR="00C91F5C" w:rsidRDefault="00C91F5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74040" w14:textId="77777777" w:rsidR="008E1510" w:rsidRDefault="008E1510" w:rsidP="00846D38">
      <w:pPr>
        <w:spacing w:after="0" w:line="240" w:lineRule="auto"/>
      </w:pPr>
      <w:bookmarkStart w:id="0" w:name="_Hlk482042776"/>
      <w:bookmarkEnd w:id="0"/>
      <w:r>
        <w:separator/>
      </w:r>
    </w:p>
  </w:footnote>
  <w:footnote w:type="continuationSeparator" w:id="0">
    <w:p w14:paraId="1D4B5A24" w14:textId="77777777" w:rsidR="008E1510" w:rsidRDefault="008E1510" w:rsidP="00846D38">
      <w:pPr>
        <w:spacing w:after="0" w:line="240" w:lineRule="auto"/>
      </w:pPr>
      <w:r>
        <w:continuationSeparator/>
      </w:r>
    </w:p>
  </w:footnote>
  <w:footnote w:id="1">
    <w:p w14:paraId="29B9CB39" w14:textId="4363A327" w:rsidR="007B294F" w:rsidRPr="000D5299" w:rsidRDefault="007B294F" w:rsidP="00C91F5C">
      <w:pPr>
        <w:spacing w:after="0" w:line="240" w:lineRule="auto"/>
        <w:jc w:val="both"/>
      </w:pPr>
      <w:r w:rsidRPr="007B294F">
        <w:rPr>
          <w:rStyle w:val="Refdenotaderodap"/>
          <w:rFonts w:ascii="Garamond" w:hAnsi="Garamond"/>
        </w:rPr>
        <w:sym w:font="Symbol" w:char="F02A"/>
      </w:r>
      <w:r w:rsidR="004E35BD" w:rsidRPr="004E35BD">
        <w:rPr>
          <w:rFonts w:ascii="Garamond" w:hAnsi="Garamond"/>
          <w:i/>
          <w:sz w:val="20"/>
          <w:szCs w:val="20"/>
        </w:rPr>
        <w:t xml:space="preserve"> </w:t>
      </w:r>
      <w:r w:rsidR="00C91F5C" w:rsidRPr="00C91F5C">
        <w:rPr>
          <w:rFonts w:ascii="Garamond" w:hAnsi="Garamond"/>
          <w:iCs/>
          <w:sz w:val="20"/>
          <w:szCs w:val="20"/>
        </w:rPr>
        <w:t xml:space="preserve">É professor Adjunto </w:t>
      </w:r>
      <w:r w:rsidR="00C91F5C">
        <w:rPr>
          <w:rFonts w:ascii="Garamond" w:hAnsi="Garamond"/>
          <w:iCs/>
          <w:sz w:val="20"/>
          <w:szCs w:val="20"/>
        </w:rPr>
        <w:t>da</w:t>
      </w:r>
      <w:r w:rsidR="00C91F5C" w:rsidRPr="00C91F5C">
        <w:rPr>
          <w:rFonts w:ascii="Garamond" w:hAnsi="Garamond"/>
          <w:iCs/>
          <w:sz w:val="20"/>
          <w:szCs w:val="20"/>
        </w:rPr>
        <w:t xml:space="preserve"> Universidade Federal de Lavras</w:t>
      </w:r>
      <w:r w:rsidR="00C91F5C">
        <w:rPr>
          <w:rFonts w:ascii="Garamond" w:hAnsi="Garamond"/>
          <w:i/>
          <w:sz w:val="20"/>
          <w:szCs w:val="20"/>
        </w:rPr>
        <w:t>.</w:t>
      </w:r>
      <w:r w:rsidR="00C91F5C" w:rsidRPr="00C91F5C">
        <w:rPr>
          <w:rFonts w:ascii="Garamond" w:hAnsi="Garamond"/>
          <w:i/>
          <w:iCs/>
          <w:sz w:val="20"/>
          <w:szCs w:val="20"/>
        </w:rPr>
        <w:t xml:space="preserve"> </w:t>
      </w:r>
      <w:r w:rsidR="009C2B95" w:rsidRPr="00C91F5C">
        <w:rPr>
          <w:rFonts w:ascii="Garamond" w:hAnsi="Garamond"/>
        </w:rPr>
        <w:t>E-mail:</w:t>
      </w:r>
      <w:r w:rsidR="009C2B95">
        <w:rPr>
          <w:rFonts w:ascii="Garamond" w:hAnsi="Garamond"/>
        </w:rPr>
        <w:t xml:space="preserve"> </w:t>
      </w:r>
      <w:r w:rsidR="00385940" w:rsidRPr="00385940">
        <w:rPr>
          <w:rFonts w:ascii="Garamond" w:hAnsi="Garamond"/>
        </w:rPr>
        <w:t>evandro.candido@ufla.br</w:t>
      </w:r>
      <w:r w:rsidR="00C91F5C">
        <w:rPr>
          <w:rFonts w:ascii="Garamond" w:hAnsi="Garamond"/>
        </w:rPr>
        <w:t>.</w:t>
      </w:r>
    </w:p>
  </w:footnote>
  <w:footnote w:id="2">
    <w:p w14:paraId="2A6CFFE4" w14:textId="77777777" w:rsidR="001A6FE3" w:rsidRDefault="001A6FE3" w:rsidP="00C91F5C">
      <w:pPr>
        <w:spacing w:after="0" w:line="240" w:lineRule="auto"/>
        <w:jc w:val="both"/>
        <w:rPr>
          <w:rFonts w:ascii="EB Garamond" w:eastAsia="EB Garamond" w:hAnsi="EB Garamond" w:cs="EB Garamond"/>
          <w:sz w:val="20"/>
          <w:szCs w:val="20"/>
        </w:rPr>
      </w:pPr>
      <w:r>
        <w:rPr>
          <w:vertAlign w:val="superscript"/>
        </w:rPr>
        <w:footnoteRef/>
      </w:r>
      <w:r>
        <w:rPr>
          <w:sz w:val="20"/>
          <w:szCs w:val="20"/>
        </w:rPr>
        <w:t xml:space="preserve"> </w:t>
      </w:r>
      <w:r>
        <w:rPr>
          <w:rFonts w:ascii="EB Garamond" w:eastAsia="EB Garamond" w:hAnsi="EB Garamond" w:cs="EB Garamond"/>
          <w:sz w:val="20"/>
          <w:szCs w:val="20"/>
        </w:rPr>
        <w:t>Enquanto Mónica Echeverría escreve em espanhol, Carmen Castillo o faz originalmente em francês. Devido ao recorte voltado para a escrita de Carmen, opta-se, nesta análise, pela versão em francês. As citações foram traduzidas por mim, mantendo o texto original em notas de rodapé.</w:t>
      </w:r>
    </w:p>
  </w:footnote>
  <w:footnote w:id="3">
    <w:p w14:paraId="32A185CD" w14:textId="77777777" w:rsidR="001A6FE3" w:rsidRPr="00C91F5C"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lang w:val="en-US"/>
        </w:rPr>
      </w:pPr>
      <w:r>
        <w:rPr>
          <w:vertAlign w:val="superscript"/>
        </w:rPr>
        <w:footnoteRef/>
      </w:r>
      <w:r>
        <w:rPr>
          <w:rFonts w:ascii="EB Garamond" w:eastAsia="EB Garamond" w:hAnsi="EB Garamond" w:cs="EB Garamond"/>
          <w:sz w:val="20"/>
          <w:szCs w:val="20"/>
        </w:rPr>
        <w:t xml:space="preserve"> “Le </w:t>
      </w:r>
      <w:proofErr w:type="spellStart"/>
      <w:r>
        <w:rPr>
          <w:rFonts w:ascii="EB Garamond" w:eastAsia="EB Garamond" w:hAnsi="EB Garamond" w:cs="EB Garamond"/>
          <w:sz w:val="20"/>
          <w:szCs w:val="20"/>
        </w:rPr>
        <w:t>sang</w:t>
      </w:r>
      <w:proofErr w:type="spellEnd"/>
      <w:r>
        <w:rPr>
          <w:rFonts w:ascii="EB Garamond" w:eastAsia="EB Garamond" w:hAnsi="EB Garamond" w:cs="EB Garamond"/>
          <w:sz w:val="20"/>
          <w:szCs w:val="20"/>
        </w:rPr>
        <w:t xml:space="preserve"> de Miguel </w:t>
      </w:r>
      <w:proofErr w:type="spellStart"/>
      <w:r>
        <w:rPr>
          <w:rFonts w:ascii="EB Garamond" w:eastAsia="EB Garamond" w:hAnsi="EB Garamond" w:cs="EB Garamond"/>
          <w:sz w:val="20"/>
          <w:szCs w:val="20"/>
        </w:rPr>
        <w:t>coule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lève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des</w:t>
      </w:r>
      <w:proofErr w:type="spellEnd"/>
      <w:r>
        <w:rPr>
          <w:rFonts w:ascii="EB Garamond" w:eastAsia="EB Garamond" w:hAnsi="EB Garamond" w:cs="EB Garamond"/>
          <w:sz w:val="20"/>
          <w:szCs w:val="20"/>
        </w:rPr>
        <w:t xml:space="preserve"> vagues </w:t>
      </w:r>
      <w:proofErr w:type="spellStart"/>
      <w:r>
        <w:rPr>
          <w:rFonts w:ascii="EB Garamond" w:eastAsia="EB Garamond" w:hAnsi="EB Garamond" w:cs="EB Garamond"/>
          <w:sz w:val="20"/>
          <w:szCs w:val="20"/>
        </w:rPr>
        <w:t>douces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poussière</w:t>
      </w:r>
      <w:proofErr w:type="spellEnd"/>
      <w:r>
        <w:rPr>
          <w:rFonts w:ascii="EB Garamond" w:eastAsia="EB Garamond" w:hAnsi="EB Garamond" w:cs="EB Garamond"/>
          <w:sz w:val="20"/>
          <w:szCs w:val="20"/>
        </w:rPr>
        <w:t xml:space="preserve">. </w:t>
      </w:r>
      <w:r w:rsidRPr="00C91F5C">
        <w:rPr>
          <w:rFonts w:ascii="EB Garamond" w:eastAsia="EB Garamond" w:hAnsi="EB Garamond" w:cs="EB Garamond"/>
          <w:sz w:val="20"/>
          <w:szCs w:val="20"/>
          <w:lang w:val="en-US"/>
        </w:rPr>
        <w:t xml:space="preserve">Et dans </w:t>
      </w:r>
      <w:proofErr w:type="spellStart"/>
      <w:r w:rsidRPr="00C91F5C">
        <w:rPr>
          <w:rFonts w:ascii="EB Garamond" w:eastAsia="EB Garamond" w:hAnsi="EB Garamond" w:cs="EB Garamond"/>
          <w:sz w:val="20"/>
          <w:szCs w:val="20"/>
          <w:lang w:val="en-US"/>
        </w:rPr>
        <w:t>ce</w:t>
      </w:r>
      <w:proofErr w:type="spellEnd"/>
      <w:r w:rsidRPr="00C91F5C">
        <w:rPr>
          <w:rFonts w:ascii="EB Garamond" w:eastAsia="EB Garamond" w:hAnsi="EB Garamond" w:cs="EB Garamond"/>
          <w:sz w:val="20"/>
          <w:szCs w:val="20"/>
          <w:lang w:val="en-US"/>
        </w:rPr>
        <w:t xml:space="preserve"> sang, La </w:t>
      </w:r>
      <w:proofErr w:type="spellStart"/>
      <w:r w:rsidRPr="00C91F5C">
        <w:rPr>
          <w:rFonts w:ascii="EB Garamond" w:eastAsia="EB Garamond" w:hAnsi="EB Garamond" w:cs="EB Garamond"/>
          <w:sz w:val="20"/>
          <w:szCs w:val="20"/>
          <w:lang w:val="en-US"/>
        </w:rPr>
        <w:t>Catita</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s'en</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va.</w:t>
      </w:r>
      <w:proofErr w:type="spellEnd"/>
      <w:r w:rsidRPr="00C91F5C">
        <w:rPr>
          <w:rFonts w:ascii="EB Garamond" w:eastAsia="EB Garamond" w:hAnsi="EB Garamond" w:cs="EB Garamond"/>
          <w:sz w:val="20"/>
          <w:szCs w:val="20"/>
          <w:lang w:val="en-US"/>
        </w:rPr>
        <w:t xml:space="preserve"> Elle </w:t>
      </w:r>
      <w:proofErr w:type="spellStart"/>
      <w:r w:rsidRPr="00C91F5C">
        <w:rPr>
          <w:rFonts w:ascii="EB Garamond" w:eastAsia="EB Garamond" w:hAnsi="EB Garamond" w:cs="EB Garamond"/>
          <w:sz w:val="20"/>
          <w:szCs w:val="20"/>
          <w:lang w:val="en-US"/>
        </w:rPr>
        <w:t>est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partie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elle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est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une</w:t>
      </w:r>
      <w:proofErr w:type="spellEnd"/>
      <w:r w:rsidRPr="00C91F5C">
        <w:rPr>
          <w:rFonts w:ascii="EB Garamond" w:eastAsia="EB Garamond" w:hAnsi="EB Garamond" w:cs="EB Garamond"/>
          <w:sz w:val="20"/>
          <w:szCs w:val="20"/>
          <w:lang w:val="en-US"/>
        </w:rPr>
        <w:t xml:space="preserve"> tache </w:t>
      </w:r>
      <w:proofErr w:type="spellStart"/>
      <w:r w:rsidRPr="00C91F5C">
        <w:rPr>
          <w:rFonts w:ascii="EB Garamond" w:eastAsia="EB Garamond" w:hAnsi="EB Garamond" w:cs="EB Garamond"/>
          <w:sz w:val="20"/>
          <w:szCs w:val="20"/>
          <w:lang w:val="en-US"/>
        </w:rPr>
        <w:t>rougeâtre</w:t>
      </w:r>
      <w:proofErr w:type="spellEnd"/>
      <w:r w:rsidRPr="00C91F5C">
        <w:rPr>
          <w:rFonts w:ascii="EB Garamond" w:eastAsia="EB Garamond" w:hAnsi="EB Garamond" w:cs="EB Garamond"/>
          <w:sz w:val="20"/>
          <w:szCs w:val="20"/>
          <w:lang w:val="en-US"/>
        </w:rPr>
        <w:t xml:space="preserve">, la terre </w:t>
      </w:r>
      <w:proofErr w:type="spellStart"/>
      <w:r w:rsidRPr="00C91F5C">
        <w:rPr>
          <w:rFonts w:ascii="EB Garamond" w:eastAsia="EB Garamond" w:hAnsi="EB Garamond" w:cs="EB Garamond"/>
          <w:sz w:val="20"/>
          <w:szCs w:val="20"/>
          <w:lang w:val="en-US"/>
        </w:rPr>
        <w:t>l'engloutit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l'emporte</w:t>
      </w:r>
      <w:proofErr w:type="spellEnd"/>
      <w:r w:rsidRPr="00C91F5C">
        <w:rPr>
          <w:rFonts w:ascii="EB Garamond" w:eastAsia="EB Garamond" w:hAnsi="EB Garamond" w:cs="EB Garamond"/>
          <w:sz w:val="20"/>
          <w:szCs w:val="20"/>
          <w:lang w:val="en-US"/>
        </w:rPr>
        <w:t xml:space="preserve">, au-dedans. </w:t>
      </w:r>
      <w:r>
        <w:rPr>
          <w:rFonts w:ascii="EB Garamond" w:eastAsia="EB Garamond" w:hAnsi="EB Garamond" w:cs="EB Garamond"/>
          <w:sz w:val="20"/>
          <w:szCs w:val="20"/>
        </w:rPr>
        <w:t xml:space="preserve">Masse de terre, terre </w:t>
      </w:r>
      <w:proofErr w:type="spellStart"/>
      <w:r>
        <w:rPr>
          <w:rFonts w:ascii="EB Garamond" w:eastAsia="EB Garamond" w:hAnsi="EB Garamond" w:cs="EB Garamond"/>
          <w:sz w:val="20"/>
          <w:szCs w:val="20"/>
        </w:rPr>
        <w:t>jusqu'au</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fond</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terre, </w:t>
      </w:r>
      <w:proofErr w:type="spellStart"/>
      <w:r>
        <w:rPr>
          <w:rFonts w:ascii="EB Garamond" w:eastAsia="EB Garamond" w:hAnsi="EB Garamond" w:cs="EB Garamond"/>
          <w:sz w:val="20"/>
          <w:szCs w:val="20"/>
        </w:rPr>
        <w:t>sèche</w:t>
      </w:r>
      <w:proofErr w:type="spellEnd"/>
      <w:r>
        <w:rPr>
          <w:rFonts w:ascii="EB Garamond" w:eastAsia="EB Garamond" w:hAnsi="EB Garamond" w:cs="EB Garamond"/>
          <w:sz w:val="20"/>
          <w:szCs w:val="20"/>
        </w:rPr>
        <w:t xml:space="preserve">. </w:t>
      </w:r>
      <w:r w:rsidRPr="00C91F5C">
        <w:rPr>
          <w:rFonts w:ascii="EB Garamond" w:eastAsia="EB Garamond" w:hAnsi="EB Garamond" w:cs="EB Garamond"/>
          <w:sz w:val="20"/>
          <w:szCs w:val="20"/>
          <w:lang w:val="en-US"/>
        </w:rPr>
        <w:t xml:space="preserve">Elle </w:t>
      </w:r>
      <w:proofErr w:type="spellStart"/>
      <w:r w:rsidRPr="00C91F5C">
        <w:rPr>
          <w:rFonts w:ascii="EB Garamond" w:eastAsia="EB Garamond" w:hAnsi="EB Garamond" w:cs="EB Garamond"/>
          <w:sz w:val="20"/>
          <w:szCs w:val="20"/>
          <w:lang w:val="en-US"/>
        </w:rPr>
        <w:t>se</w:t>
      </w:r>
      <w:proofErr w:type="spellEnd"/>
      <w:r w:rsidRPr="00C91F5C">
        <w:rPr>
          <w:rFonts w:ascii="EB Garamond" w:eastAsia="EB Garamond" w:hAnsi="EB Garamond" w:cs="EB Garamond"/>
          <w:sz w:val="20"/>
          <w:szCs w:val="20"/>
          <w:lang w:val="en-US"/>
        </w:rPr>
        <w:t xml:space="preserve"> fit </w:t>
      </w:r>
      <w:proofErr w:type="spellStart"/>
      <w:r w:rsidRPr="00C91F5C">
        <w:rPr>
          <w:rFonts w:ascii="EB Garamond" w:eastAsia="EB Garamond" w:hAnsi="EB Garamond" w:cs="EB Garamond"/>
          <w:sz w:val="20"/>
          <w:szCs w:val="20"/>
          <w:lang w:val="en-US"/>
        </w:rPr>
        <w:t>poudre</w:t>
      </w:r>
      <w:proofErr w:type="spellEnd"/>
      <w:r w:rsidRPr="00C91F5C">
        <w:rPr>
          <w:rFonts w:ascii="EB Garamond" w:eastAsia="EB Garamond" w:hAnsi="EB Garamond" w:cs="EB Garamond"/>
          <w:sz w:val="20"/>
          <w:szCs w:val="20"/>
          <w:lang w:val="en-US"/>
        </w:rPr>
        <w:t xml:space="preserve">, on </w:t>
      </w:r>
      <w:proofErr w:type="spellStart"/>
      <w:r w:rsidRPr="00C91F5C">
        <w:rPr>
          <w:rFonts w:ascii="EB Garamond" w:eastAsia="EB Garamond" w:hAnsi="EB Garamond" w:cs="EB Garamond"/>
          <w:sz w:val="20"/>
          <w:szCs w:val="20"/>
          <w:lang w:val="en-US"/>
        </w:rPr>
        <w:t>dit</w:t>
      </w:r>
      <w:proofErr w:type="spellEnd"/>
      <w:r w:rsidRPr="00C91F5C">
        <w:rPr>
          <w:rFonts w:ascii="EB Garamond" w:eastAsia="EB Garamond" w:hAnsi="EB Garamond" w:cs="EB Garamond"/>
          <w:sz w:val="20"/>
          <w:szCs w:val="20"/>
          <w:lang w:val="en-US"/>
        </w:rPr>
        <w:t xml:space="preserve">. La </w:t>
      </w:r>
      <w:proofErr w:type="spellStart"/>
      <w:r w:rsidRPr="00C91F5C">
        <w:rPr>
          <w:rFonts w:ascii="EB Garamond" w:eastAsia="EB Garamond" w:hAnsi="EB Garamond" w:cs="EB Garamond"/>
          <w:sz w:val="20"/>
          <w:szCs w:val="20"/>
          <w:lang w:val="en-US"/>
        </w:rPr>
        <w:t>Catita</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est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morte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personne</w:t>
      </w:r>
      <w:proofErr w:type="spellEnd"/>
      <w:r w:rsidRPr="00C91F5C">
        <w:rPr>
          <w:rFonts w:ascii="EB Garamond" w:eastAsia="EB Garamond" w:hAnsi="EB Garamond" w:cs="EB Garamond"/>
          <w:sz w:val="20"/>
          <w:szCs w:val="20"/>
          <w:lang w:val="en-US"/>
        </w:rPr>
        <w:t xml:space="preserve"> ne </w:t>
      </w:r>
      <w:proofErr w:type="spellStart"/>
      <w:r w:rsidRPr="00C91F5C">
        <w:rPr>
          <w:rFonts w:ascii="EB Garamond" w:eastAsia="EB Garamond" w:hAnsi="EB Garamond" w:cs="EB Garamond"/>
          <w:sz w:val="20"/>
          <w:szCs w:val="20"/>
          <w:lang w:val="en-US"/>
        </w:rPr>
        <w:t>peut</w:t>
      </w:r>
      <w:proofErr w:type="spellEnd"/>
      <w:r w:rsidRPr="00C91F5C">
        <w:rPr>
          <w:rFonts w:ascii="EB Garamond" w:eastAsia="EB Garamond" w:hAnsi="EB Garamond" w:cs="EB Garamond"/>
          <w:sz w:val="20"/>
          <w:szCs w:val="20"/>
          <w:lang w:val="en-US"/>
        </w:rPr>
        <w:t xml:space="preserve"> prendre </w:t>
      </w:r>
      <w:proofErr w:type="spellStart"/>
      <w:r w:rsidRPr="00C91F5C">
        <w:rPr>
          <w:rFonts w:ascii="EB Garamond" w:eastAsia="EB Garamond" w:hAnsi="EB Garamond" w:cs="EB Garamond"/>
          <w:sz w:val="20"/>
          <w:szCs w:val="20"/>
          <w:lang w:val="en-US"/>
        </w:rPr>
        <w:t>sa</w:t>
      </w:r>
      <w:proofErr w:type="spellEnd"/>
      <w:r w:rsidRPr="00C91F5C">
        <w:rPr>
          <w:rFonts w:ascii="EB Garamond" w:eastAsia="EB Garamond" w:hAnsi="EB Garamond" w:cs="EB Garamond"/>
          <w:sz w:val="20"/>
          <w:szCs w:val="20"/>
          <w:lang w:val="en-US"/>
        </w:rPr>
        <w:t xml:space="preserve"> place”.</w:t>
      </w:r>
    </w:p>
  </w:footnote>
  <w:footnote w:id="4">
    <w:p w14:paraId="7996D73F"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“La </w:t>
      </w:r>
      <w:proofErr w:type="spellStart"/>
      <w:r>
        <w:rPr>
          <w:rFonts w:ascii="EB Garamond" w:eastAsia="EB Garamond" w:hAnsi="EB Garamond" w:cs="EB Garamond"/>
          <w:sz w:val="20"/>
          <w:szCs w:val="20"/>
        </w:rPr>
        <w:t>vie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s’impose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l’enfant</w:t>
      </w:r>
      <w:proofErr w:type="spellEnd"/>
      <w:r>
        <w:rPr>
          <w:rFonts w:ascii="EB Garamond" w:eastAsia="EB Garamond" w:hAnsi="EB Garamond" w:cs="EB Garamond"/>
          <w:sz w:val="20"/>
          <w:szCs w:val="20"/>
        </w:rPr>
        <w:t xml:space="preserve"> de Miguel </w:t>
      </w:r>
      <w:proofErr w:type="spellStart"/>
      <w:r>
        <w:rPr>
          <w:rFonts w:ascii="EB Garamond" w:eastAsia="EB Garamond" w:hAnsi="EB Garamond" w:cs="EB Garamond"/>
          <w:sz w:val="20"/>
          <w:szCs w:val="20"/>
        </w:rPr>
        <w:t>lui</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survivra</w:t>
      </w:r>
      <w:proofErr w:type="spellEnd"/>
      <w:r>
        <w:rPr>
          <w:rFonts w:ascii="EB Garamond" w:eastAsia="EB Garamond" w:hAnsi="EB Garamond" w:cs="EB Garamond"/>
          <w:sz w:val="20"/>
          <w:szCs w:val="20"/>
        </w:rPr>
        <w:t>”.</w:t>
      </w:r>
    </w:p>
  </w:footnote>
  <w:footnote w:id="5">
    <w:p w14:paraId="2ACC7A8F"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n’ai </w:t>
      </w:r>
      <w:proofErr w:type="spellStart"/>
      <w:r>
        <w:rPr>
          <w:rFonts w:ascii="EB Garamond" w:eastAsia="EB Garamond" w:hAnsi="EB Garamond" w:cs="EB Garamond"/>
          <w:sz w:val="20"/>
          <w:szCs w:val="20"/>
        </w:rPr>
        <w:t>pas</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autres</w:t>
      </w:r>
      <w:proofErr w:type="spellEnd"/>
      <w:r>
        <w:rPr>
          <w:rFonts w:ascii="EB Garamond" w:eastAsia="EB Garamond" w:hAnsi="EB Garamond" w:cs="EB Garamond"/>
          <w:sz w:val="20"/>
          <w:szCs w:val="20"/>
        </w:rPr>
        <w:t xml:space="preserve"> souvenirs”.</w:t>
      </w:r>
    </w:p>
  </w:footnote>
  <w:footnote w:id="6">
    <w:p w14:paraId="01867E5E" w14:textId="77777777" w:rsidR="001A6FE3" w:rsidRPr="00C91F5C"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lang w:val="en-US"/>
        </w:rPr>
      </w:pPr>
      <w:r>
        <w:rPr>
          <w:vertAlign w:val="superscript"/>
        </w:rPr>
        <w:footnoteRef/>
      </w:r>
      <w:r w:rsidRPr="00C91F5C">
        <w:rPr>
          <w:rFonts w:ascii="EB Garamond" w:eastAsia="EB Garamond" w:hAnsi="EB Garamond" w:cs="EB Garamond"/>
          <w:sz w:val="20"/>
          <w:szCs w:val="20"/>
          <w:lang w:val="en-US"/>
        </w:rPr>
        <w:t xml:space="preserve"> “La </w:t>
      </w:r>
      <w:proofErr w:type="spellStart"/>
      <w:r w:rsidRPr="00C91F5C">
        <w:rPr>
          <w:rFonts w:ascii="EB Garamond" w:eastAsia="EB Garamond" w:hAnsi="EB Garamond" w:cs="EB Garamond"/>
          <w:sz w:val="20"/>
          <w:szCs w:val="20"/>
          <w:lang w:val="en-US"/>
        </w:rPr>
        <w:t>survie</w:t>
      </w:r>
      <w:proofErr w:type="spellEnd"/>
      <w:r w:rsidRPr="00C91F5C">
        <w:rPr>
          <w:rFonts w:ascii="EB Garamond" w:eastAsia="EB Garamond" w:hAnsi="EB Garamond" w:cs="EB Garamond"/>
          <w:sz w:val="20"/>
          <w:szCs w:val="20"/>
          <w:lang w:val="en-US"/>
        </w:rPr>
        <w:t xml:space="preserve">. Une avenue, un appartement, </w:t>
      </w:r>
      <w:proofErr w:type="spellStart"/>
      <w:r w:rsidRPr="00C91F5C">
        <w:rPr>
          <w:rFonts w:ascii="EB Garamond" w:eastAsia="EB Garamond" w:hAnsi="EB Garamond" w:cs="EB Garamond"/>
          <w:sz w:val="20"/>
          <w:szCs w:val="20"/>
          <w:lang w:val="en-US"/>
        </w:rPr>
        <w:t>ils</w:t>
      </w:r>
      <w:proofErr w:type="spellEnd"/>
      <w:r w:rsidRPr="00C91F5C">
        <w:rPr>
          <w:rFonts w:ascii="EB Garamond" w:eastAsia="EB Garamond" w:hAnsi="EB Garamond" w:cs="EB Garamond"/>
          <w:sz w:val="20"/>
          <w:szCs w:val="20"/>
          <w:lang w:val="en-US"/>
        </w:rPr>
        <w:t xml:space="preserve"> se </w:t>
      </w:r>
      <w:proofErr w:type="spellStart"/>
      <w:r w:rsidRPr="00C91F5C">
        <w:rPr>
          <w:rFonts w:ascii="EB Garamond" w:eastAsia="EB Garamond" w:hAnsi="EB Garamond" w:cs="EB Garamond"/>
          <w:sz w:val="20"/>
          <w:szCs w:val="20"/>
          <w:lang w:val="en-US"/>
        </w:rPr>
        <w:t>ressemblent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tous</w:t>
      </w:r>
      <w:proofErr w:type="spellEnd"/>
      <w:r w:rsidRPr="00C91F5C">
        <w:rPr>
          <w:rFonts w:ascii="EB Garamond" w:eastAsia="EB Garamond" w:hAnsi="EB Garamond" w:cs="EB Garamond"/>
          <w:sz w:val="20"/>
          <w:szCs w:val="20"/>
          <w:lang w:val="en-US"/>
        </w:rPr>
        <w:t xml:space="preserve">: banlieues de Rome, de Stockholm, de </w:t>
      </w:r>
      <w:proofErr w:type="spellStart"/>
      <w:r w:rsidRPr="00C91F5C">
        <w:rPr>
          <w:rFonts w:ascii="EB Garamond" w:eastAsia="EB Garamond" w:hAnsi="EB Garamond" w:cs="EB Garamond"/>
          <w:sz w:val="20"/>
          <w:szCs w:val="20"/>
          <w:lang w:val="en-US"/>
        </w:rPr>
        <w:t>Londres</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d'Ottawa</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Errance</w:t>
      </w:r>
      <w:proofErr w:type="spellEnd"/>
      <w:r w:rsidRPr="00C91F5C">
        <w:rPr>
          <w:rFonts w:ascii="EB Garamond" w:eastAsia="EB Garamond" w:hAnsi="EB Garamond" w:cs="EB Garamond"/>
          <w:sz w:val="20"/>
          <w:szCs w:val="20"/>
          <w:lang w:val="en-US"/>
        </w:rPr>
        <w:t xml:space="preserve"> sans vision, </w:t>
      </w:r>
      <w:proofErr w:type="spellStart"/>
      <w:r w:rsidRPr="00C91F5C">
        <w:rPr>
          <w:rFonts w:ascii="EB Garamond" w:eastAsia="EB Garamond" w:hAnsi="EB Garamond" w:cs="EB Garamond"/>
          <w:sz w:val="20"/>
          <w:szCs w:val="20"/>
          <w:lang w:val="en-US"/>
        </w:rPr>
        <w:t>parcours</w:t>
      </w:r>
      <w:proofErr w:type="spellEnd"/>
      <w:r w:rsidRPr="00C91F5C">
        <w:rPr>
          <w:rFonts w:ascii="EB Garamond" w:eastAsia="EB Garamond" w:hAnsi="EB Garamond" w:cs="EB Garamond"/>
          <w:sz w:val="20"/>
          <w:szCs w:val="20"/>
          <w:lang w:val="en-US"/>
        </w:rPr>
        <w:t xml:space="preserve"> sans </w:t>
      </w:r>
      <w:proofErr w:type="spellStart"/>
      <w:r w:rsidRPr="00C91F5C">
        <w:rPr>
          <w:rFonts w:ascii="EB Garamond" w:eastAsia="EB Garamond" w:hAnsi="EB Garamond" w:cs="EB Garamond"/>
          <w:sz w:val="20"/>
          <w:szCs w:val="20"/>
          <w:lang w:val="en-US"/>
        </w:rPr>
        <w:t>mouvement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répétition</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égale</w:t>
      </w:r>
      <w:proofErr w:type="spellEnd"/>
      <w:r w:rsidRPr="00C91F5C">
        <w:rPr>
          <w:rFonts w:ascii="EB Garamond" w:eastAsia="EB Garamond" w:hAnsi="EB Garamond" w:cs="EB Garamond"/>
          <w:sz w:val="20"/>
          <w:szCs w:val="20"/>
          <w:lang w:val="en-US"/>
        </w:rPr>
        <w:t xml:space="preserve"> des codes, la veuve </w:t>
      </w:r>
      <w:proofErr w:type="spellStart"/>
      <w:r w:rsidRPr="00C91F5C">
        <w:rPr>
          <w:rFonts w:ascii="EB Garamond" w:eastAsia="EB Garamond" w:hAnsi="EB Garamond" w:cs="EB Garamond"/>
          <w:sz w:val="20"/>
          <w:szCs w:val="20"/>
          <w:lang w:val="en-US"/>
        </w:rPr>
        <w:t>heróique</w:t>
      </w:r>
      <w:proofErr w:type="spellEnd"/>
      <w:r w:rsidRPr="00C91F5C">
        <w:rPr>
          <w:rFonts w:ascii="EB Garamond" w:eastAsia="EB Garamond" w:hAnsi="EB Garamond" w:cs="EB Garamond"/>
          <w:sz w:val="20"/>
          <w:szCs w:val="20"/>
          <w:lang w:val="en-US"/>
        </w:rPr>
        <w:t xml:space="preserve"> se </w:t>
      </w:r>
      <w:proofErr w:type="spellStart"/>
      <w:r w:rsidRPr="00C91F5C">
        <w:rPr>
          <w:rFonts w:ascii="EB Garamond" w:eastAsia="EB Garamond" w:hAnsi="EB Garamond" w:cs="EB Garamond"/>
          <w:sz w:val="20"/>
          <w:szCs w:val="20"/>
          <w:lang w:val="en-US"/>
        </w:rPr>
        <w:t>déplace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aveugle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sourde</w:t>
      </w:r>
      <w:proofErr w:type="spellEnd"/>
      <w:r w:rsidRPr="00C91F5C">
        <w:rPr>
          <w:rFonts w:ascii="EB Garamond" w:eastAsia="EB Garamond" w:hAnsi="EB Garamond" w:cs="EB Garamond"/>
          <w:sz w:val="20"/>
          <w:szCs w:val="20"/>
          <w:lang w:val="en-US"/>
        </w:rPr>
        <w:t xml:space="preserve"> et </w:t>
      </w:r>
      <w:proofErr w:type="spellStart"/>
      <w:r w:rsidRPr="00C91F5C">
        <w:rPr>
          <w:rFonts w:ascii="EB Garamond" w:eastAsia="EB Garamond" w:hAnsi="EB Garamond" w:cs="EB Garamond"/>
          <w:sz w:val="20"/>
          <w:szCs w:val="20"/>
          <w:lang w:val="en-US"/>
        </w:rPr>
        <w:t>presque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muette</w:t>
      </w:r>
      <w:proofErr w:type="spellEnd"/>
      <w:r w:rsidRPr="00C91F5C">
        <w:rPr>
          <w:rFonts w:ascii="EB Garamond" w:eastAsia="EB Garamond" w:hAnsi="EB Garamond" w:cs="EB Garamond"/>
          <w:sz w:val="20"/>
          <w:szCs w:val="20"/>
          <w:lang w:val="en-US"/>
        </w:rPr>
        <w:t>”.</w:t>
      </w:r>
    </w:p>
  </w:footnote>
  <w:footnote w:id="7">
    <w:p w14:paraId="1FAA9B64"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“Le </w:t>
      </w:r>
      <w:proofErr w:type="spellStart"/>
      <w:r>
        <w:rPr>
          <w:rFonts w:ascii="EB Garamond" w:eastAsia="EB Garamond" w:hAnsi="EB Garamond" w:cs="EB Garamond"/>
          <w:sz w:val="20"/>
          <w:szCs w:val="20"/>
        </w:rPr>
        <w:t>personnage</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veuve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heróique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était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sollicité</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Obéissante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me suis </w:t>
      </w:r>
      <w:proofErr w:type="spellStart"/>
      <w:r>
        <w:rPr>
          <w:rFonts w:ascii="EB Garamond" w:eastAsia="EB Garamond" w:hAnsi="EB Garamond" w:cs="EB Garamond"/>
          <w:sz w:val="20"/>
          <w:szCs w:val="20"/>
        </w:rPr>
        <w:t>prêtée</w:t>
      </w:r>
      <w:proofErr w:type="spellEnd"/>
      <w:r>
        <w:rPr>
          <w:rFonts w:ascii="EB Garamond" w:eastAsia="EB Garamond" w:hAnsi="EB Garamond" w:cs="EB Garamond"/>
          <w:sz w:val="20"/>
          <w:szCs w:val="20"/>
        </w:rPr>
        <w:t xml:space="preserve"> à </w:t>
      </w:r>
      <w:proofErr w:type="spellStart"/>
      <w:r>
        <w:rPr>
          <w:rFonts w:ascii="EB Garamond" w:eastAsia="EB Garamond" w:hAnsi="EB Garamond" w:cs="EB Garamond"/>
          <w:sz w:val="20"/>
          <w:szCs w:val="20"/>
        </w:rPr>
        <w:t>ce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rôle</w:t>
      </w:r>
      <w:proofErr w:type="spellEnd"/>
      <w:r>
        <w:rPr>
          <w:rFonts w:ascii="EB Garamond" w:eastAsia="EB Garamond" w:hAnsi="EB Garamond" w:cs="EB Garamond"/>
          <w:sz w:val="20"/>
          <w:szCs w:val="20"/>
        </w:rPr>
        <w:t xml:space="preserve">. Le </w:t>
      </w:r>
      <w:proofErr w:type="spellStart"/>
      <w:r>
        <w:rPr>
          <w:rFonts w:ascii="EB Garamond" w:eastAsia="EB Garamond" w:hAnsi="EB Garamond" w:cs="EB Garamond"/>
          <w:sz w:val="20"/>
          <w:szCs w:val="20"/>
        </w:rPr>
        <w:t>dégoût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grandissait</w:t>
      </w:r>
      <w:proofErr w:type="spellEnd"/>
      <w:r>
        <w:rPr>
          <w:rFonts w:ascii="EB Garamond" w:eastAsia="EB Garamond" w:hAnsi="EB Garamond" w:cs="EB Garamond"/>
          <w:sz w:val="20"/>
          <w:szCs w:val="20"/>
        </w:rPr>
        <w:t>”.</w:t>
      </w:r>
    </w:p>
  </w:footnote>
  <w:footnote w:id="8">
    <w:p w14:paraId="6F180A7E"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“Des </w:t>
      </w:r>
      <w:proofErr w:type="spellStart"/>
      <w:r>
        <w:rPr>
          <w:rFonts w:ascii="EB Garamond" w:eastAsia="EB Garamond" w:hAnsi="EB Garamond" w:cs="EB Garamond"/>
          <w:sz w:val="20"/>
          <w:szCs w:val="20"/>
        </w:rPr>
        <w:t>visages</w:t>
      </w:r>
      <w:proofErr w:type="spellEnd"/>
      <w:r>
        <w:rPr>
          <w:rFonts w:ascii="EB Garamond" w:eastAsia="EB Garamond" w:hAnsi="EB Garamond" w:cs="EB Garamond"/>
          <w:sz w:val="20"/>
          <w:szCs w:val="20"/>
        </w:rPr>
        <w:t xml:space="preserve"> graves, </w:t>
      </w:r>
      <w:proofErr w:type="spellStart"/>
      <w:r>
        <w:rPr>
          <w:rFonts w:ascii="EB Garamond" w:eastAsia="EB Garamond" w:hAnsi="EB Garamond" w:cs="EB Garamond"/>
          <w:sz w:val="20"/>
          <w:szCs w:val="20"/>
        </w:rPr>
        <w:t>des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regards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durs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c'est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ainsi</w:t>
      </w:r>
      <w:proofErr w:type="spellEnd"/>
      <w:r>
        <w:rPr>
          <w:rFonts w:ascii="EB Garamond" w:eastAsia="EB Garamond" w:hAnsi="EB Garamond" w:cs="EB Garamond"/>
          <w:sz w:val="20"/>
          <w:szCs w:val="20"/>
        </w:rPr>
        <w:t xml:space="preserve"> que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sens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fixés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sur</w:t>
      </w:r>
      <w:proofErr w:type="spellEnd"/>
      <w:r>
        <w:rPr>
          <w:rFonts w:ascii="EB Garamond" w:eastAsia="EB Garamond" w:hAnsi="EB Garamond" w:cs="EB Garamond"/>
          <w:sz w:val="20"/>
          <w:szCs w:val="20"/>
        </w:rPr>
        <w:t xml:space="preserve"> moi, </w:t>
      </w:r>
      <w:proofErr w:type="spellStart"/>
      <w:r>
        <w:rPr>
          <w:rFonts w:ascii="EB Garamond" w:eastAsia="EB Garamond" w:hAnsi="EB Garamond" w:cs="EB Garamond"/>
          <w:sz w:val="20"/>
          <w:szCs w:val="20"/>
        </w:rPr>
        <w:t>percevant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faille, </w:t>
      </w:r>
      <w:proofErr w:type="spellStart"/>
      <w:r>
        <w:rPr>
          <w:rFonts w:ascii="EB Garamond" w:eastAsia="EB Garamond" w:hAnsi="EB Garamond" w:cs="EB Garamond"/>
          <w:i/>
          <w:sz w:val="20"/>
          <w:szCs w:val="20"/>
        </w:rPr>
        <w:t>menéandose</w:t>
      </w:r>
      <w:proofErr w:type="spellEnd"/>
      <w:r>
        <w:rPr>
          <w:rFonts w:ascii="EB Garamond" w:eastAsia="EB Garamond" w:hAnsi="EB Garamond" w:cs="EB Garamond"/>
          <w:i/>
          <w:sz w:val="20"/>
          <w:szCs w:val="20"/>
        </w:rPr>
        <w:t xml:space="preserve"> </w:t>
      </w:r>
      <w:proofErr w:type="spellStart"/>
      <w:r>
        <w:rPr>
          <w:rFonts w:ascii="EB Garamond" w:eastAsia="EB Garamond" w:hAnsi="EB Garamond" w:cs="EB Garamond"/>
          <w:i/>
          <w:sz w:val="20"/>
          <w:szCs w:val="20"/>
        </w:rPr>
        <w:t>complacidos</w:t>
      </w:r>
      <w:proofErr w:type="spellEnd"/>
      <w:r>
        <w:rPr>
          <w:rFonts w:ascii="EB Garamond" w:eastAsia="EB Garamond" w:hAnsi="EB Garamond" w:cs="EB Garamond"/>
          <w:i/>
          <w:sz w:val="20"/>
          <w:szCs w:val="20"/>
        </w:rPr>
        <w:t xml:space="preserve"> </w:t>
      </w:r>
      <w:proofErr w:type="spellStart"/>
      <w:r>
        <w:rPr>
          <w:rFonts w:ascii="EB Garamond" w:eastAsia="EB Garamond" w:hAnsi="EB Garamond" w:cs="EB Garamond"/>
          <w:i/>
          <w:sz w:val="20"/>
          <w:szCs w:val="20"/>
        </w:rPr>
        <w:t>en</w:t>
      </w:r>
      <w:proofErr w:type="spellEnd"/>
      <w:r>
        <w:rPr>
          <w:rFonts w:ascii="EB Garamond" w:eastAsia="EB Garamond" w:hAnsi="EB Garamond" w:cs="EB Garamond"/>
          <w:i/>
          <w:sz w:val="20"/>
          <w:szCs w:val="20"/>
        </w:rPr>
        <w:t xml:space="preserve"> </w:t>
      </w:r>
      <w:proofErr w:type="spellStart"/>
      <w:r>
        <w:rPr>
          <w:rFonts w:ascii="EB Garamond" w:eastAsia="EB Garamond" w:hAnsi="EB Garamond" w:cs="EB Garamond"/>
          <w:i/>
          <w:sz w:val="20"/>
          <w:szCs w:val="20"/>
        </w:rPr>
        <w:t>la</w:t>
      </w:r>
      <w:proofErr w:type="spellEnd"/>
      <w:r>
        <w:rPr>
          <w:rFonts w:ascii="EB Garamond" w:eastAsia="EB Garamond" w:hAnsi="EB Garamond" w:cs="EB Garamond"/>
          <w:i/>
          <w:sz w:val="20"/>
          <w:szCs w:val="20"/>
        </w:rPr>
        <w:t xml:space="preserve"> pus</w:t>
      </w:r>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peau</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purulente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mienne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Panique</w:t>
      </w:r>
      <w:proofErr w:type="spellEnd"/>
      <w:r>
        <w:rPr>
          <w:rFonts w:ascii="EB Garamond" w:eastAsia="EB Garamond" w:hAnsi="EB Garamond" w:cs="EB Garamond"/>
          <w:sz w:val="20"/>
          <w:szCs w:val="20"/>
        </w:rPr>
        <w:t xml:space="preserve">. [...]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ne sais </w:t>
      </w:r>
      <w:proofErr w:type="spellStart"/>
      <w:r>
        <w:rPr>
          <w:rFonts w:ascii="EB Garamond" w:eastAsia="EB Garamond" w:hAnsi="EB Garamond" w:cs="EB Garamond"/>
          <w:sz w:val="20"/>
          <w:szCs w:val="20"/>
        </w:rPr>
        <w:t>pas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quoi</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dire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comment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trouver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mots</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ligne</w:t>
      </w:r>
      <w:proofErr w:type="spellEnd"/>
      <w:r>
        <w:rPr>
          <w:rFonts w:ascii="EB Garamond" w:eastAsia="EB Garamond" w:hAnsi="EB Garamond" w:cs="EB Garamond"/>
          <w:sz w:val="20"/>
          <w:szCs w:val="20"/>
        </w:rPr>
        <w:t xml:space="preserve"> politique de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résistance</w:t>
      </w:r>
      <w:proofErr w:type="spellEnd"/>
      <w:r>
        <w:rPr>
          <w:rFonts w:ascii="EB Garamond" w:eastAsia="EB Garamond" w:hAnsi="EB Garamond" w:cs="EB Garamond"/>
          <w:sz w:val="20"/>
          <w:szCs w:val="20"/>
        </w:rPr>
        <w:t xml:space="preserve"> à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dictature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j'ai</w:t>
      </w:r>
      <w:proofErr w:type="spellEnd"/>
      <w:r>
        <w:rPr>
          <w:rFonts w:ascii="EB Garamond" w:eastAsia="EB Garamond" w:hAnsi="EB Garamond" w:cs="EB Garamond"/>
          <w:sz w:val="20"/>
          <w:szCs w:val="20"/>
        </w:rPr>
        <w:t xml:space="preserve"> déjà </w:t>
      </w:r>
      <w:proofErr w:type="spellStart"/>
      <w:r>
        <w:rPr>
          <w:rFonts w:ascii="EB Garamond" w:eastAsia="EB Garamond" w:hAnsi="EB Garamond" w:cs="EB Garamond"/>
          <w:sz w:val="20"/>
          <w:szCs w:val="20"/>
        </w:rPr>
        <w:t>oublié</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leçon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mot</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ordre</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aujourd'hui</w:t>
      </w:r>
      <w:proofErr w:type="spellEnd"/>
      <w:r>
        <w:rPr>
          <w:rFonts w:ascii="EB Garamond" w:eastAsia="EB Garamond" w:hAnsi="EB Garamond" w:cs="EB Garamond"/>
          <w:sz w:val="20"/>
          <w:szCs w:val="20"/>
        </w:rPr>
        <w:t>”.</w:t>
      </w:r>
    </w:p>
  </w:footnote>
  <w:footnote w:id="9">
    <w:p w14:paraId="08576DD7"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Comment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faire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pour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fuir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cette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ville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regards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compatissants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pleins</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mépris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bureaucrates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attirés</w:t>
      </w:r>
      <w:proofErr w:type="spellEnd"/>
      <w:r>
        <w:rPr>
          <w:rFonts w:ascii="EB Garamond" w:eastAsia="EB Garamond" w:hAnsi="EB Garamond" w:cs="EB Garamond"/>
          <w:sz w:val="20"/>
          <w:szCs w:val="20"/>
        </w:rPr>
        <w:t xml:space="preserve"> encore par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femme</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trente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ans</w:t>
      </w:r>
      <w:proofErr w:type="spellEnd"/>
      <w:r>
        <w:rPr>
          <w:rFonts w:ascii="EB Garamond" w:eastAsia="EB Garamond" w:hAnsi="EB Garamond" w:cs="EB Garamond"/>
          <w:sz w:val="20"/>
          <w:szCs w:val="20"/>
        </w:rPr>
        <w:t xml:space="preserve"> que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suis. </w:t>
      </w:r>
      <w:proofErr w:type="spellStart"/>
      <w:r>
        <w:rPr>
          <w:rFonts w:ascii="EB Garamond" w:eastAsia="EB Garamond" w:hAnsi="EB Garamond" w:cs="EB Garamond"/>
          <w:sz w:val="20"/>
          <w:szCs w:val="20"/>
        </w:rPr>
        <w:t>Incapable</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refuser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leurs</w:t>
      </w:r>
      <w:proofErr w:type="spellEnd"/>
      <w:r>
        <w:rPr>
          <w:rFonts w:ascii="EB Garamond" w:eastAsia="EB Garamond" w:hAnsi="EB Garamond" w:cs="EB Garamond"/>
          <w:sz w:val="20"/>
          <w:szCs w:val="20"/>
        </w:rPr>
        <w:t xml:space="preserve"> avances,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m'enferme”.</w:t>
      </w:r>
    </w:p>
  </w:footnote>
  <w:footnote w:id="10">
    <w:p w14:paraId="1D1D75BF"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 </w:t>
      </w:r>
      <w:proofErr w:type="spellStart"/>
      <w:r>
        <w:rPr>
          <w:rFonts w:ascii="EB Garamond" w:eastAsia="EB Garamond" w:hAnsi="EB Garamond" w:cs="EB Garamond"/>
          <w:sz w:val="20"/>
          <w:szCs w:val="20"/>
        </w:rPr>
        <w:t>Rouillée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tête</w:t>
      </w:r>
      <w:proofErr w:type="spellEnd"/>
      <w:r>
        <w:rPr>
          <w:rFonts w:ascii="EB Garamond" w:eastAsia="EB Garamond" w:hAnsi="EB Garamond" w:cs="EB Garamond"/>
          <w:sz w:val="20"/>
          <w:szCs w:val="20"/>
        </w:rPr>
        <w:t xml:space="preserve"> se </w:t>
      </w:r>
      <w:proofErr w:type="spellStart"/>
      <w:r>
        <w:rPr>
          <w:rFonts w:ascii="EB Garamond" w:eastAsia="EB Garamond" w:hAnsi="EB Garamond" w:cs="EB Garamond"/>
          <w:sz w:val="20"/>
          <w:szCs w:val="20"/>
        </w:rPr>
        <w:t>vidait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j'apprenais</w:t>
      </w:r>
      <w:proofErr w:type="spellEnd"/>
      <w:r>
        <w:rPr>
          <w:rFonts w:ascii="EB Garamond" w:eastAsia="EB Garamond" w:hAnsi="EB Garamond" w:cs="EB Garamond"/>
          <w:sz w:val="20"/>
          <w:szCs w:val="20"/>
        </w:rPr>
        <w:t xml:space="preserve"> par </w:t>
      </w:r>
      <w:proofErr w:type="spellStart"/>
      <w:r>
        <w:rPr>
          <w:rFonts w:ascii="EB Garamond" w:eastAsia="EB Garamond" w:hAnsi="EB Garamond" w:cs="EB Garamond"/>
          <w:sz w:val="20"/>
          <w:szCs w:val="20"/>
        </w:rPr>
        <w:t>cœur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phrases</w:t>
      </w:r>
      <w:proofErr w:type="spellEnd"/>
      <w:r>
        <w:rPr>
          <w:rFonts w:ascii="EB Garamond" w:eastAsia="EB Garamond" w:hAnsi="EB Garamond" w:cs="EB Garamond"/>
          <w:sz w:val="20"/>
          <w:szCs w:val="20"/>
        </w:rPr>
        <w:t xml:space="preserve"> vides”.</w:t>
      </w:r>
    </w:p>
  </w:footnote>
  <w:footnote w:id="11">
    <w:p w14:paraId="0E3AF369"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quoi</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est-il</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heróique</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être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veuve</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un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héros</w:t>
      </w:r>
      <w:proofErr w:type="spellEnd"/>
      <w:r>
        <w:rPr>
          <w:rFonts w:ascii="EB Garamond" w:eastAsia="EB Garamond" w:hAnsi="EB Garamond" w:cs="EB Garamond"/>
          <w:sz w:val="20"/>
          <w:szCs w:val="20"/>
        </w:rPr>
        <w:t>?”</w:t>
      </w:r>
    </w:p>
  </w:footnote>
  <w:footnote w:id="12">
    <w:p w14:paraId="0698C084"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16"/>
          <w:szCs w:val="16"/>
        </w:rPr>
      </w:pPr>
      <w:r>
        <w:rPr>
          <w:vertAlign w:val="superscript"/>
        </w:rPr>
        <w:footnoteRef/>
      </w:r>
      <w:r w:rsidRPr="00C91F5C">
        <w:rPr>
          <w:rFonts w:ascii="EB Garamond" w:eastAsia="EB Garamond" w:hAnsi="EB Garamond" w:cs="EB Garamond"/>
          <w:sz w:val="16"/>
          <w:szCs w:val="16"/>
          <w:lang w:val="en-US"/>
        </w:rPr>
        <w:t xml:space="preserve"> </w:t>
      </w:r>
      <w:r w:rsidRPr="00C91F5C">
        <w:rPr>
          <w:rFonts w:ascii="EB Garamond" w:eastAsia="EB Garamond" w:hAnsi="EB Garamond" w:cs="EB Garamond"/>
          <w:sz w:val="20"/>
          <w:szCs w:val="20"/>
          <w:lang w:val="en-US"/>
        </w:rPr>
        <w:t xml:space="preserve">“Andrés, Nelson, la direction du MIR à </w:t>
      </w:r>
      <w:proofErr w:type="spellStart"/>
      <w:r w:rsidRPr="00C91F5C">
        <w:rPr>
          <w:rFonts w:ascii="EB Garamond" w:eastAsia="EB Garamond" w:hAnsi="EB Garamond" w:cs="EB Garamond"/>
          <w:sz w:val="20"/>
          <w:szCs w:val="20"/>
          <w:lang w:val="en-US"/>
        </w:rPr>
        <w:t>l'extérieur</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évidemment</w:t>
      </w:r>
      <w:proofErr w:type="spellEnd"/>
      <w:r w:rsidRPr="00C91F5C">
        <w:rPr>
          <w:rFonts w:ascii="EB Garamond" w:eastAsia="EB Garamond" w:hAnsi="EB Garamond" w:cs="EB Garamond"/>
          <w:sz w:val="20"/>
          <w:szCs w:val="20"/>
          <w:lang w:val="en-US"/>
        </w:rPr>
        <w:t xml:space="preserve"> de MR </w:t>
      </w:r>
      <w:proofErr w:type="spellStart"/>
      <w:r w:rsidRPr="00C91F5C">
        <w:rPr>
          <w:rFonts w:ascii="EB Garamond" w:eastAsia="EB Garamond" w:hAnsi="EB Garamond" w:cs="EB Garamond"/>
          <w:sz w:val="20"/>
          <w:szCs w:val="20"/>
          <w:lang w:val="en-US"/>
        </w:rPr>
        <w:t>l'appareil</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cubain</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souhaitent</w:t>
      </w:r>
      <w:proofErr w:type="spellEnd"/>
      <w:r w:rsidRPr="00C91F5C">
        <w:rPr>
          <w:rFonts w:ascii="EB Garamond" w:eastAsia="EB Garamond" w:hAnsi="EB Garamond" w:cs="EB Garamond"/>
          <w:sz w:val="20"/>
          <w:szCs w:val="20"/>
          <w:lang w:val="en-US"/>
        </w:rPr>
        <w:t xml:space="preserve"> le contraire. </w:t>
      </w:r>
      <w:proofErr w:type="spellStart"/>
      <w:r w:rsidRPr="00C91F5C">
        <w:rPr>
          <w:rFonts w:ascii="EB Garamond" w:eastAsia="EB Garamond" w:hAnsi="EB Garamond" w:cs="EB Garamond"/>
          <w:sz w:val="20"/>
          <w:szCs w:val="20"/>
          <w:lang w:val="en-US"/>
        </w:rPr>
        <w:t>Leurs</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ordres</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sont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clairs</w:t>
      </w:r>
      <w:proofErr w:type="spellEnd"/>
      <w:r w:rsidRPr="00C91F5C">
        <w:rPr>
          <w:rFonts w:ascii="EB Garamond" w:eastAsia="EB Garamond" w:hAnsi="EB Garamond" w:cs="EB Garamond"/>
          <w:sz w:val="20"/>
          <w:szCs w:val="20"/>
          <w:lang w:val="en-US"/>
        </w:rPr>
        <w:t xml:space="preserve">. </w:t>
      </w:r>
      <w:r>
        <w:rPr>
          <w:rFonts w:ascii="EB Garamond" w:eastAsia="EB Garamond" w:hAnsi="EB Garamond" w:cs="EB Garamond"/>
          <w:sz w:val="20"/>
          <w:szCs w:val="20"/>
        </w:rPr>
        <w:t xml:space="preserve">La </w:t>
      </w:r>
      <w:proofErr w:type="spellStart"/>
      <w:r>
        <w:rPr>
          <w:rFonts w:ascii="EB Garamond" w:eastAsia="EB Garamond" w:hAnsi="EB Garamond" w:cs="EB Garamond"/>
          <w:sz w:val="20"/>
          <w:szCs w:val="20"/>
        </w:rPr>
        <w:t>Veuve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doit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rester</w:t>
      </w:r>
      <w:proofErr w:type="spellEnd"/>
      <w:r>
        <w:rPr>
          <w:rFonts w:ascii="EB Garamond" w:eastAsia="EB Garamond" w:hAnsi="EB Garamond" w:cs="EB Garamond"/>
          <w:sz w:val="20"/>
          <w:szCs w:val="20"/>
        </w:rPr>
        <w:t xml:space="preserve"> à Cuba ou à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rigueur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s'installer</w:t>
      </w:r>
      <w:proofErr w:type="spellEnd"/>
      <w:r>
        <w:rPr>
          <w:rFonts w:ascii="EB Garamond" w:eastAsia="EB Garamond" w:hAnsi="EB Garamond" w:cs="EB Garamond"/>
          <w:sz w:val="20"/>
          <w:szCs w:val="20"/>
        </w:rPr>
        <w:t xml:space="preserve"> à Caracas ou à Mexico, </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Amérique</w:t>
      </w:r>
      <w:proofErr w:type="spellEnd"/>
      <w:r>
        <w:rPr>
          <w:rFonts w:ascii="EB Garamond" w:eastAsia="EB Garamond" w:hAnsi="EB Garamond" w:cs="EB Garamond"/>
          <w:sz w:val="20"/>
          <w:szCs w:val="20"/>
        </w:rPr>
        <w:t xml:space="preserve"> Latine. </w:t>
      </w:r>
      <w:proofErr w:type="spellStart"/>
      <w:r>
        <w:rPr>
          <w:rFonts w:ascii="EB Garamond" w:eastAsia="EB Garamond" w:hAnsi="EB Garamond" w:cs="EB Garamond"/>
          <w:sz w:val="20"/>
          <w:szCs w:val="20"/>
        </w:rPr>
        <w:t>Pas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au-delà</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Pas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France. Paris, </w:t>
      </w:r>
      <w:proofErr w:type="spellStart"/>
      <w:r>
        <w:rPr>
          <w:rFonts w:ascii="EB Garamond" w:eastAsia="EB Garamond" w:hAnsi="EB Garamond" w:cs="EB Garamond"/>
          <w:sz w:val="20"/>
          <w:szCs w:val="20"/>
        </w:rPr>
        <w:t>pas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question</w:t>
      </w:r>
      <w:proofErr w:type="spellEnd"/>
      <w:r>
        <w:rPr>
          <w:rFonts w:ascii="EB Garamond" w:eastAsia="EB Garamond" w:hAnsi="EB Garamond" w:cs="EB Garamond"/>
          <w:sz w:val="20"/>
          <w:szCs w:val="20"/>
        </w:rPr>
        <w:t>”.</w:t>
      </w:r>
    </w:p>
  </w:footnote>
  <w:footnote w:id="13">
    <w:p w14:paraId="2D1E325D"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sz w:val="20"/>
          <w:szCs w:val="20"/>
        </w:rPr>
      </w:pPr>
      <w:r>
        <w:rPr>
          <w:vertAlign w:val="superscript"/>
        </w:rPr>
        <w:footnoteRef/>
      </w:r>
      <w:r>
        <w:rPr>
          <w:rFonts w:ascii="Times New Roman" w:eastAsia="Times New Roman" w:hAnsi="Times New Roman"/>
          <w:sz w:val="20"/>
          <w:szCs w:val="20"/>
        </w:rPr>
        <w:t xml:space="preserve"> “La Tati m'</w:t>
      </w:r>
      <w:proofErr w:type="spellStart"/>
      <w:r>
        <w:rPr>
          <w:rFonts w:ascii="Times New Roman" w:eastAsia="Times New Roman" w:hAnsi="Times New Roman"/>
          <w:sz w:val="20"/>
          <w:szCs w:val="20"/>
        </w:rPr>
        <w:t>encouragea</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elle</w:t>
      </w:r>
      <w:proofErr w:type="spellEnd"/>
      <w:r>
        <w:rPr>
          <w:rFonts w:ascii="Times New Roman" w:eastAsia="Times New Roman" w:hAnsi="Times New Roman"/>
          <w:sz w:val="20"/>
          <w:szCs w:val="20"/>
        </w:rPr>
        <w:t xml:space="preserve"> me </w:t>
      </w:r>
      <w:proofErr w:type="spellStart"/>
      <w:r>
        <w:rPr>
          <w:rFonts w:ascii="Times New Roman" w:eastAsia="Times New Roman" w:hAnsi="Times New Roman"/>
          <w:sz w:val="20"/>
          <w:szCs w:val="20"/>
        </w:rPr>
        <w:t>fit</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ce</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cadeau</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incroyable</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qui</w:t>
      </w:r>
      <w:proofErr w:type="spellEnd"/>
      <w:r>
        <w:rPr>
          <w:rFonts w:ascii="Times New Roman" w:eastAsia="Times New Roman" w:hAnsi="Times New Roman"/>
          <w:sz w:val="20"/>
          <w:szCs w:val="20"/>
        </w:rPr>
        <w:t xml:space="preserve"> me </w:t>
      </w:r>
      <w:proofErr w:type="spellStart"/>
      <w:r>
        <w:rPr>
          <w:rFonts w:ascii="Times New Roman" w:eastAsia="Times New Roman" w:hAnsi="Times New Roman"/>
          <w:sz w:val="20"/>
          <w:szCs w:val="20"/>
        </w:rPr>
        <w:t>permit</w:t>
      </w:r>
      <w:proofErr w:type="spellEnd"/>
      <w:r>
        <w:rPr>
          <w:rFonts w:ascii="Times New Roman" w:eastAsia="Times New Roman" w:hAnsi="Times New Roman"/>
          <w:sz w:val="20"/>
          <w:szCs w:val="20"/>
        </w:rPr>
        <w:t xml:space="preserve"> de me </w:t>
      </w:r>
      <w:proofErr w:type="spellStart"/>
      <w:r>
        <w:rPr>
          <w:rFonts w:ascii="Times New Roman" w:eastAsia="Times New Roman" w:hAnsi="Times New Roman"/>
          <w:sz w:val="20"/>
          <w:szCs w:val="20"/>
        </w:rPr>
        <w:t>tenir</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en</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vie</w:t>
      </w:r>
      <w:proofErr w:type="spellEnd"/>
      <w:r>
        <w:rPr>
          <w:rFonts w:ascii="Times New Roman" w:eastAsia="Times New Roman" w:hAnsi="Times New Roman"/>
          <w:sz w:val="20"/>
          <w:szCs w:val="20"/>
        </w:rPr>
        <w:t>.”</w:t>
      </w:r>
    </w:p>
  </w:footnote>
  <w:footnote w:id="14">
    <w:p w14:paraId="7A7EEC47"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“Encore une </w:t>
      </w:r>
      <w:proofErr w:type="spellStart"/>
      <w:r>
        <w:rPr>
          <w:rFonts w:ascii="EB Garamond" w:eastAsia="EB Garamond" w:hAnsi="EB Garamond" w:cs="EB Garamond"/>
          <w:sz w:val="20"/>
          <w:szCs w:val="20"/>
        </w:rPr>
        <w:t>fois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privilégiée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m'</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allais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mes</w:t>
      </w:r>
      <w:proofErr w:type="spellEnd"/>
      <w:r>
        <w:rPr>
          <w:rFonts w:ascii="EB Garamond" w:eastAsia="EB Garamond" w:hAnsi="EB Garamond" w:cs="EB Garamond"/>
          <w:sz w:val="20"/>
          <w:szCs w:val="20"/>
        </w:rPr>
        <w:t xml:space="preserve"> camarades </w:t>
      </w:r>
      <w:proofErr w:type="spellStart"/>
      <w:r>
        <w:rPr>
          <w:rFonts w:ascii="EB Garamond" w:eastAsia="EB Garamond" w:hAnsi="EB Garamond" w:cs="EB Garamond"/>
          <w:sz w:val="20"/>
          <w:szCs w:val="20"/>
        </w:rPr>
        <w:t>exilées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du</w:t>
      </w:r>
      <w:proofErr w:type="spellEnd"/>
      <w:r>
        <w:rPr>
          <w:rFonts w:ascii="EB Garamond" w:eastAsia="EB Garamond" w:hAnsi="EB Garamond" w:cs="EB Garamond"/>
          <w:sz w:val="20"/>
          <w:szCs w:val="20"/>
        </w:rPr>
        <w:t xml:space="preserve"> MIR, </w:t>
      </w:r>
      <w:proofErr w:type="spellStart"/>
      <w:r>
        <w:rPr>
          <w:rFonts w:ascii="EB Garamond" w:eastAsia="EB Garamond" w:hAnsi="EB Garamond" w:cs="EB Garamond"/>
          <w:sz w:val="20"/>
          <w:szCs w:val="20"/>
        </w:rPr>
        <w:t>elles</w:t>
      </w:r>
      <w:proofErr w:type="spellEnd"/>
      <w:r>
        <w:rPr>
          <w:rFonts w:ascii="EB Garamond" w:eastAsia="EB Garamond" w:hAnsi="EB Garamond" w:cs="EB Garamond"/>
          <w:sz w:val="20"/>
          <w:szCs w:val="20"/>
        </w:rPr>
        <w:t xml:space="preserve">, ne </w:t>
      </w:r>
      <w:proofErr w:type="spellStart"/>
      <w:r>
        <w:rPr>
          <w:rFonts w:ascii="EB Garamond" w:eastAsia="EB Garamond" w:hAnsi="EB Garamond" w:cs="EB Garamond"/>
          <w:sz w:val="20"/>
          <w:szCs w:val="20"/>
        </w:rPr>
        <w:t>pouvaient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pas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bouger</w:t>
      </w:r>
      <w:proofErr w:type="spellEnd"/>
      <w:r>
        <w:rPr>
          <w:rFonts w:ascii="EB Garamond" w:eastAsia="EB Garamond" w:hAnsi="EB Garamond" w:cs="EB Garamond"/>
          <w:sz w:val="20"/>
          <w:szCs w:val="20"/>
        </w:rPr>
        <w:t>”</w:t>
      </w:r>
    </w:p>
  </w:footnote>
  <w:footnote w:id="15">
    <w:p w14:paraId="723B5F78"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“Un </w:t>
      </w:r>
      <w:proofErr w:type="spellStart"/>
      <w:r>
        <w:rPr>
          <w:rFonts w:ascii="EB Garamond" w:eastAsia="EB Garamond" w:hAnsi="EB Garamond" w:cs="EB Garamond"/>
          <w:sz w:val="20"/>
          <w:szCs w:val="20"/>
        </w:rPr>
        <w:t>autre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temps</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mon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exil</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commençait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croyais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pouvoir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finir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avec</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l'imposture</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mon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personnage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quoi</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est-il</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heróique</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être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veuve</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un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héros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n'</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pouvais</w:t>
      </w:r>
      <w:proofErr w:type="spellEnd"/>
      <w:r>
        <w:rPr>
          <w:rFonts w:ascii="EB Garamond" w:eastAsia="EB Garamond" w:hAnsi="EB Garamond" w:cs="EB Garamond"/>
          <w:sz w:val="20"/>
          <w:szCs w:val="20"/>
        </w:rPr>
        <w:t xml:space="preserve"> plus de </w:t>
      </w:r>
      <w:proofErr w:type="spellStart"/>
      <w:r>
        <w:rPr>
          <w:rFonts w:ascii="EB Garamond" w:eastAsia="EB Garamond" w:hAnsi="EB Garamond" w:cs="EB Garamond"/>
          <w:sz w:val="20"/>
          <w:szCs w:val="20"/>
        </w:rPr>
        <w:t>cette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place</w:t>
      </w:r>
      <w:proofErr w:type="spellEnd"/>
      <w:r>
        <w:rPr>
          <w:rFonts w:ascii="EB Garamond" w:eastAsia="EB Garamond" w:hAnsi="EB Garamond" w:cs="EB Garamond"/>
          <w:sz w:val="20"/>
          <w:szCs w:val="20"/>
        </w:rPr>
        <w:t xml:space="preserve"> et </w:t>
      </w:r>
      <w:proofErr w:type="spellStart"/>
      <w:r>
        <w:rPr>
          <w:rFonts w:ascii="EB Garamond" w:eastAsia="EB Garamond" w:hAnsi="EB Garamond" w:cs="EB Garamond"/>
          <w:sz w:val="20"/>
          <w:szCs w:val="20"/>
        </w:rPr>
        <w:t>des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contraintes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qu'elle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faisait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peser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femme</w:t>
      </w:r>
      <w:proofErr w:type="spellEnd"/>
      <w:r>
        <w:rPr>
          <w:rFonts w:ascii="EB Garamond" w:eastAsia="EB Garamond" w:hAnsi="EB Garamond" w:cs="EB Garamond"/>
          <w:sz w:val="20"/>
          <w:szCs w:val="20"/>
        </w:rPr>
        <w:t xml:space="preserve"> que </w:t>
      </w:r>
      <w:proofErr w:type="spellStart"/>
      <w:r>
        <w:rPr>
          <w:rFonts w:ascii="EB Garamond" w:eastAsia="EB Garamond" w:hAnsi="EB Garamond" w:cs="EB Garamond"/>
          <w:sz w:val="20"/>
          <w:szCs w:val="20"/>
        </w:rPr>
        <w:t>j'étais</w:t>
      </w:r>
      <w:proofErr w:type="spellEnd"/>
      <w:r>
        <w:rPr>
          <w:rFonts w:ascii="EB Garamond" w:eastAsia="EB Garamond" w:hAnsi="EB Garamond" w:cs="EB Garamond"/>
          <w:sz w:val="20"/>
          <w:szCs w:val="20"/>
        </w:rPr>
        <w:t xml:space="preserve"> encore, que, </w:t>
      </w:r>
      <w:proofErr w:type="spellStart"/>
      <w:r>
        <w:rPr>
          <w:rFonts w:ascii="EB Garamond" w:eastAsia="EB Garamond" w:hAnsi="EB Garamond" w:cs="EB Garamond"/>
          <w:sz w:val="20"/>
          <w:szCs w:val="20"/>
        </w:rPr>
        <w:t>du</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moins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croyais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être</w:t>
      </w:r>
      <w:proofErr w:type="spellEnd"/>
      <w:r>
        <w:rPr>
          <w:rFonts w:ascii="EB Garamond" w:eastAsia="EB Garamond" w:hAnsi="EB Garamond" w:cs="EB Garamond"/>
          <w:sz w:val="20"/>
          <w:szCs w:val="20"/>
        </w:rPr>
        <w:t xml:space="preserve"> encore…”</w:t>
      </w:r>
    </w:p>
  </w:footnote>
  <w:footnote w:id="16">
    <w:p w14:paraId="6ACA6C36"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C'est</w:t>
      </w:r>
      <w:proofErr w:type="spellEnd"/>
      <w:r w:rsidRPr="00C91F5C">
        <w:rPr>
          <w:rFonts w:ascii="EB Garamond" w:eastAsia="EB Garamond" w:hAnsi="EB Garamond" w:cs="EB Garamond"/>
          <w:sz w:val="20"/>
          <w:szCs w:val="20"/>
          <w:lang w:val="en-US"/>
        </w:rPr>
        <w:t xml:space="preserve"> tout </w:t>
      </w:r>
      <w:proofErr w:type="spellStart"/>
      <w:r w:rsidRPr="00C91F5C">
        <w:rPr>
          <w:rFonts w:ascii="EB Garamond" w:eastAsia="EB Garamond" w:hAnsi="EB Garamond" w:cs="EB Garamond"/>
          <w:sz w:val="20"/>
          <w:szCs w:val="20"/>
          <w:lang w:val="en-US"/>
        </w:rPr>
        <w:t>ce</w:t>
      </w:r>
      <w:proofErr w:type="spellEnd"/>
      <w:r w:rsidRPr="00C91F5C">
        <w:rPr>
          <w:rFonts w:ascii="EB Garamond" w:eastAsia="EB Garamond" w:hAnsi="EB Garamond" w:cs="EB Garamond"/>
          <w:sz w:val="20"/>
          <w:szCs w:val="20"/>
          <w:lang w:val="en-US"/>
        </w:rPr>
        <w:t xml:space="preserve"> qui </w:t>
      </w:r>
      <w:proofErr w:type="spellStart"/>
      <w:r w:rsidRPr="00C91F5C">
        <w:rPr>
          <w:rFonts w:ascii="EB Garamond" w:eastAsia="EB Garamond" w:hAnsi="EB Garamond" w:cs="EB Garamond"/>
          <w:sz w:val="20"/>
          <w:szCs w:val="20"/>
          <w:lang w:val="en-US"/>
        </w:rPr>
        <w:t>s'est</w:t>
      </w:r>
      <w:proofErr w:type="spellEnd"/>
      <w:r w:rsidRPr="00C91F5C">
        <w:rPr>
          <w:rFonts w:ascii="EB Garamond" w:eastAsia="EB Garamond" w:hAnsi="EB Garamond" w:cs="EB Garamond"/>
          <w:sz w:val="20"/>
          <w:szCs w:val="20"/>
          <w:lang w:val="en-US"/>
        </w:rPr>
        <w:t xml:space="preserve"> passé, Mónica, je ne </w:t>
      </w:r>
      <w:proofErr w:type="spellStart"/>
      <w:r w:rsidRPr="00C91F5C">
        <w:rPr>
          <w:rFonts w:ascii="EB Garamond" w:eastAsia="EB Garamond" w:hAnsi="EB Garamond" w:cs="EB Garamond"/>
          <w:sz w:val="20"/>
          <w:szCs w:val="20"/>
          <w:lang w:val="en-US"/>
        </w:rPr>
        <w:t>sais</w:t>
      </w:r>
      <w:proofErr w:type="spellEnd"/>
      <w:r w:rsidRPr="00C91F5C">
        <w:rPr>
          <w:rFonts w:ascii="EB Garamond" w:eastAsia="EB Garamond" w:hAnsi="EB Garamond" w:cs="EB Garamond"/>
          <w:sz w:val="20"/>
          <w:szCs w:val="20"/>
          <w:lang w:val="en-US"/>
        </w:rPr>
        <w:t xml:space="preserve"> comment on </w:t>
      </w:r>
      <w:proofErr w:type="spellStart"/>
      <w:r w:rsidRPr="00C91F5C">
        <w:rPr>
          <w:rFonts w:ascii="EB Garamond" w:eastAsia="EB Garamond" w:hAnsi="EB Garamond" w:cs="EB Garamond"/>
          <w:sz w:val="20"/>
          <w:szCs w:val="20"/>
          <w:lang w:val="en-US"/>
        </w:rPr>
        <w:t>peut</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appeler</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cette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expérience</w:t>
      </w:r>
      <w:proofErr w:type="spellEnd"/>
      <w:r w:rsidRPr="00C91F5C">
        <w:rPr>
          <w:rFonts w:ascii="EB Garamond" w:eastAsia="EB Garamond" w:hAnsi="EB Garamond" w:cs="EB Garamond"/>
          <w:sz w:val="20"/>
          <w:szCs w:val="20"/>
          <w:lang w:val="en-US"/>
        </w:rPr>
        <w:t xml:space="preserve">. </w:t>
      </w:r>
      <w:proofErr w:type="spellStart"/>
      <w:r>
        <w:rPr>
          <w:rFonts w:ascii="EB Garamond" w:eastAsia="EB Garamond" w:hAnsi="EB Garamond" w:cs="EB Garamond"/>
          <w:sz w:val="20"/>
          <w:szCs w:val="20"/>
        </w:rPr>
        <w:t>L'existence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même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temps</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deux</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femmes</w:t>
      </w:r>
      <w:proofErr w:type="spellEnd"/>
      <w:r>
        <w:rPr>
          <w:rFonts w:ascii="EB Garamond" w:eastAsia="EB Garamond" w:hAnsi="EB Garamond" w:cs="EB Garamond"/>
          <w:sz w:val="20"/>
          <w:szCs w:val="20"/>
        </w:rPr>
        <w:t xml:space="preserve"> et </w:t>
      </w:r>
      <w:proofErr w:type="spellStart"/>
      <w:r>
        <w:rPr>
          <w:rFonts w:ascii="EB Garamond" w:eastAsia="EB Garamond" w:hAnsi="EB Garamond" w:cs="EB Garamond"/>
          <w:sz w:val="20"/>
          <w:szCs w:val="20"/>
        </w:rPr>
        <w:t>un</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seul</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corps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qui</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les</w:t>
      </w:r>
      <w:proofErr w:type="spellEnd"/>
      <w:r>
        <w:rPr>
          <w:rFonts w:ascii="EB Garamond" w:eastAsia="EB Garamond" w:hAnsi="EB Garamond" w:cs="EB Garamond"/>
          <w:sz w:val="20"/>
          <w:szCs w:val="20"/>
        </w:rPr>
        <w:t xml:space="preserve"> incarne.”</w:t>
      </w:r>
    </w:p>
  </w:footnote>
  <w:footnote w:id="17">
    <w:p w14:paraId="72A649ED"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 Moi </w:t>
      </w:r>
      <w:proofErr w:type="spellStart"/>
      <w:r>
        <w:rPr>
          <w:rFonts w:ascii="EB Garamond" w:eastAsia="EB Garamond" w:hAnsi="EB Garamond" w:cs="EB Garamond"/>
          <w:sz w:val="20"/>
          <w:szCs w:val="20"/>
        </w:rPr>
        <w:t>j'avais</w:t>
      </w:r>
      <w:proofErr w:type="spellEnd"/>
      <w:r>
        <w:rPr>
          <w:rFonts w:ascii="EB Garamond" w:eastAsia="EB Garamond" w:hAnsi="EB Garamond" w:cs="EB Garamond"/>
          <w:sz w:val="20"/>
          <w:szCs w:val="20"/>
        </w:rPr>
        <w:t xml:space="preserve"> fui </w:t>
      </w:r>
      <w:proofErr w:type="spellStart"/>
      <w:r>
        <w:rPr>
          <w:rFonts w:ascii="EB Garamond" w:eastAsia="EB Garamond" w:hAnsi="EB Garamond" w:cs="EB Garamond"/>
          <w:sz w:val="20"/>
          <w:szCs w:val="20"/>
        </w:rPr>
        <w:t>l'Île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pour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sauver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peau</w:t>
      </w:r>
      <w:proofErr w:type="spellEnd"/>
      <w:r>
        <w:rPr>
          <w:rFonts w:ascii="EB Garamond" w:eastAsia="EB Garamond" w:hAnsi="EB Garamond" w:cs="EB Garamond"/>
          <w:sz w:val="20"/>
          <w:szCs w:val="20"/>
        </w:rPr>
        <w:t xml:space="preserve">. Peu à </w:t>
      </w:r>
      <w:proofErr w:type="spellStart"/>
      <w:r>
        <w:rPr>
          <w:rFonts w:ascii="EB Garamond" w:eastAsia="EB Garamond" w:hAnsi="EB Garamond" w:cs="EB Garamond"/>
          <w:sz w:val="20"/>
          <w:szCs w:val="20"/>
        </w:rPr>
        <w:t>peu</w:t>
      </w:r>
      <w:proofErr w:type="spellEnd"/>
      <w:r>
        <w:rPr>
          <w:rFonts w:ascii="EB Garamond" w:eastAsia="EB Garamond" w:hAnsi="EB Garamond" w:cs="EB Garamond"/>
          <w:sz w:val="20"/>
          <w:szCs w:val="20"/>
        </w:rPr>
        <w:t xml:space="preserve">, et </w:t>
      </w:r>
      <w:proofErr w:type="spellStart"/>
      <w:r>
        <w:rPr>
          <w:rFonts w:ascii="EB Garamond" w:eastAsia="EB Garamond" w:hAnsi="EB Garamond" w:cs="EB Garamond"/>
          <w:sz w:val="20"/>
          <w:szCs w:val="20"/>
        </w:rPr>
        <w:t>malgré</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mort</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l'enfant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après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deux</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ans</w:t>
      </w:r>
      <w:proofErr w:type="spellEnd"/>
      <w:r>
        <w:rPr>
          <w:rFonts w:ascii="EB Garamond" w:eastAsia="EB Garamond" w:hAnsi="EB Garamond" w:cs="EB Garamond"/>
          <w:sz w:val="20"/>
          <w:szCs w:val="20"/>
        </w:rPr>
        <w:t xml:space="preserve"> d'</w:t>
      </w:r>
      <w:proofErr w:type="spellStart"/>
      <w:r>
        <w:rPr>
          <w:rFonts w:ascii="EB Garamond" w:eastAsia="EB Garamond" w:hAnsi="EB Garamond" w:cs="EB Garamond"/>
          <w:sz w:val="20"/>
          <w:szCs w:val="20"/>
        </w:rPr>
        <w:t>existence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endormie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suis </w:t>
      </w:r>
      <w:proofErr w:type="spellStart"/>
      <w:r>
        <w:rPr>
          <w:rFonts w:ascii="EB Garamond" w:eastAsia="EB Garamond" w:hAnsi="EB Garamond" w:cs="EB Garamond"/>
          <w:sz w:val="20"/>
          <w:szCs w:val="20"/>
        </w:rPr>
        <w:t>revenue</w:t>
      </w:r>
      <w:proofErr w:type="spellEnd"/>
      <w:r>
        <w:rPr>
          <w:rFonts w:ascii="EB Garamond" w:eastAsia="EB Garamond" w:hAnsi="EB Garamond" w:cs="EB Garamond"/>
          <w:sz w:val="20"/>
          <w:szCs w:val="20"/>
        </w:rPr>
        <w:t xml:space="preserve"> à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vie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me suis </w:t>
      </w:r>
      <w:proofErr w:type="spellStart"/>
      <w:r>
        <w:rPr>
          <w:rFonts w:ascii="EB Garamond" w:eastAsia="EB Garamond" w:hAnsi="EB Garamond" w:cs="EB Garamond"/>
          <w:sz w:val="20"/>
          <w:szCs w:val="20"/>
        </w:rPr>
        <w:t>battue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contre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nostalgie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culte</w:t>
      </w:r>
      <w:proofErr w:type="spellEnd"/>
      <w:r>
        <w:rPr>
          <w:rFonts w:ascii="EB Garamond" w:eastAsia="EB Garamond" w:hAnsi="EB Garamond" w:cs="EB Garamond"/>
          <w:sz w:val="20"/>
          <w:szCs w:val="20"/>
        </w:rPr>
        <w:t xml:space="preserve"> de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mort</w:t>
      </w:r>
      <w:proofErr w:type="spellEnd"/>
      <w:r>
        <w:rPr>
          <w:rFonts w:ascii="EB Garamond" w:eastAsia="EB Garamond" w:hAnsi="EB Garamond" w:cs="EB Garamond"/>
          <w:sz w:val="20"/>
          <w:szCs w:val="20"/>
        </w:rPr>
        <w:t xml:space="preserve"> et </w:t>
      </w:r>
      <w:proofErr w:type="spellStart"/>
      <w:r>
        <w:rPr>
          <w:rFonts w:ascii="EB Garamond" w:eastAsia="EB Garamond" w:hAnsi="EB Garamond" w:cs="EB Garamond"/>
          <w:sz w:val="20"/>
          <w:szCs w:val="20"/>
        </w:rPr>
        <w:t>du</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sacrifice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la</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mémoire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matière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vivante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l'exigeait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aussi</w:t>
      </w:r>
      <w:proofErr w:type="spellEnd"/>
      <w:r>
        <w:rPr>
          <w:rFonts w:ascii="EB Garamond" w:eastAsia="EB Garamond" w:hAnsi="EB Garamond" w:cs="EB Garamond"/>
          <w:sz w:val="20"/>
          <w:szCs w:val="20"/>
        </w:rPr>
        <w:t>”.</w:t>
      </w:r>
    </w:p>
  </w:footnote>
  <w:footnote w:id="18">
    <w:p w14:paraId="706F021B" w14:textId="77777777" w:rsidR="001A6FE3"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rPr>
      </w:pPr>
      <w:r>
        <w:rPr>
          <w:vertAlign w:val="superscript"/>
        </w:rPr>
        <w:footnoteRef/>
      </w:r>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m'</w:t>
      </w:r>
      <w:proofErr w:type="spellStart"/>
      <w:r>
        <w:rPr>
          <w:rFonts w:ascii="EB Garamond" w:eastAsia="EB Garamond" w:hAnsi="EB Garamond" w:cs="EB Garamond"/>
          <w:sz w:val="20"/>
          <w:szCs w:val="20"/>
        </w:rPr>
        <w:t>attarde</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dans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ce</w:t>
      </w:r>
      <w:proofErr w:type="spellEnd"/>
      <w:r>
        <w:rPr>
          <w:rFonts w:ascii="EB Garamond" w:eastAsia="EB Garamond" w:hAnsi="EB Garamond" w:cs="EB Garamond"/>
          <w:sz w:val="20"/>
          <w:szCs w:val="20"/>
        </w:rPr>
        <w:t xml:space="preserve"> dialogue </w:t>
      </w:r>
      <w:proofErr w:type="spellStart"/>
      <w:r>
        <w:rPr>
          <w:rFonts w:ascii="EB Garamond" w:eastAsia="EB Garamond" w:hAnsi="EB Garamond" w:cs="EB Garamond"/>
          <w:sz w:val="20"/>
          <w:szCs w:val="20"/>
        </w:rPr>
        <w:t>avec</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toi</w:t>
      </w:r>
      <w:proofErr w:type="spellEnd"/>
      <w:r>
        <w:rPr>
          <w:rFonts w:ascii="EB Garamond" w:eastAsia="EB Garamond" w:hAnsi="EB Garamond" w:cs="EB Garamond"/>
          <w:sz w:val="20"/>
          <w:szCs w:val="20"/>
        </w:rPr>
        <w:t xml:space="preserve">, Mónica, </w:t>
      </w:r>
      <w:proofErr w:type="spellStart"/>
      <w:r>
        <w:rPr>
          <w:rFonts w:ascii="EB Garamond" w:eastAsia="EB Garamond" w:hAnsi="EB Garamond" w:cs="EB Garamond"/>
          <w:sz w:val="20"/>
          <w:szCs w:val="20"/>
        </w:rPr>
        <w:t>longtemps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après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sur</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des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moments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dont</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je</w:t>
      </w:r>
      <w:proofErr w:type="spellEnd"/>
      <w:r>
        <w:rPr>
          <w:rFonts w:ascii="EB Garamond" w:eastAsia="EB Garamond" w:hAnsi="EB Garamond" w:cs="EB Garamond"/>
          <w:sz w:val="20"/>
          <w:szCs w:val="20"/>
        </w:rPr>
        <w:t xml:space="preserve"> n'ai </w:t>
      </w:r>
      <w:proofErr w:type="spellStart"/>
      <w:r>
        <w:rPr>
          <w:rFonts w:ascii="EB Garamond" w:eastAsia="EB Garamond" w:hAnsi="EB Garamond" w:cs="EB Garamond"/>
          <w:sz w:val="20"/>
          <w:szCs w:val="20"/>
        </w:rPr>
        <w:t>pas</w:t>
      </w:r>
      <w:proofErr w:type="spellEnd"/>
      <w:r>
        <w:rPr>
          <w:rFonts w:ascii="EB Garamond" w:eastAsia="EB Garamond" w:hAnsi="EB Garamond" w:cs="EB Garamond"/>
          <w:sz w:val="20"/>
          <w:szCs w:val="20"/>
        </w:rPr>
        <w:t xml:space="preserve"> </w:t>
      </w:r>
      <w:proofErr w:type="spellStart"/>
      <w:r>
        <w:rPr>
          <w:rFonts w:ascii="EB Garamond" w:eastAsia="EB Garamond" w:hAnsi="EB Garamond" w:cs="EB Garamond"/>
          <w:sz w:val="20"/>
          <w:szCs w:val="20"/>
        </w:rPr>
        <w:t>pu</w:t>
      </w:r>
      <w:proofErr w:type="spellEnd"/>
      <w:r>
        <w:rPr>
          <w:rFonts w:ascii="EB Garamond" w:eastAsia="EB Garamond" w:hAnsi="EB Garamond" w:cs="EB Garamond"/>
          <w:sz w:val="20"/>
          <w:szCs w:val="20"/>
        </w:rPr>
        <w:t xml:space="preserve"> te </w:t>
      </w:r>
      <w:proofErr w:type="spellStart"/>
      <w:r>
        <w:rPr>
          <w:rFonts w:ascii="EB Garamond" w:eastAsia="EB Garamond" w:hAnsi="EB Garamond" w:cs="EB Garamond"/>
          <w:sz w:val="20"/>
          <w:szCs w:val="20"/>
        </w:rPr>
        <w:t>parler</w:t>
      </w:r>
      <w:proofErr w:type="spellEnd"/>
      <w:r>
        <w:rPr>
          <w:rFonts w:ascii="EB Garamond" w:eastAsia="EB Garamond" w:hAnsi="EB Garamond" w:cs="EB Garamond"/>
          <w:sz w:val="20"/>
          <w:szCs w:val="20"/>
        </w:rPr>
        <w:t xml:space="preserve"> plus </w:t>
      </w:r>
      <w:proofErr w:type="spellStart"/>
      <w:r>
        <w:rPr>
          <w:rFonts w:ascii="EB Garamond" w:eastAsia="EB Garamond" w:hAnsi="EB Garamond" w:cs="EB Garamond"/>
          <w:sz w:val="20"/>
          <w:szCs w:val="20"/>
        </w:rPr>
        <w:t>tôt</w:t>
      </w:r>
      <w:proofErr w:type="spellEnd"/>
      <w:r>
        <w:rPr>
          <w:rFonts w:ascii="EB Garamond" w:eastAsia="EB Garamond" w:hAnsi="EB Garamond" w:cs="EB Garamond"/>
          <w:sz w:val="20"/>
          <w:szCs w:val="20"/>
        </w:rPr>
        <w:t>.”</w:t>
      </w:r>
    </w:p>
  </w:footnote>
  <w:footnote w:id="19">
    <w:p w14:paraId="6DB0AD22" w14:textId="77777777" w:rsidR="001A6FE3" w:rsidRPr="00C91F5C" w:rsidRDefault="001A6FE3" w:rsidP="00C91F5C">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EB Garamond" w:eastAsia="EB Garamond" w:hAnsi="EB Garamond" w:cs="EB Garamond"/>
          <w:sz w:val="20"/>
          <w:szCs w:val="20"/>
          <w:lang w:val="en-US"/>
        </w:rPr>
      </w:pPr>
      <w:r>
        <w:rPr>
          <w:vertAlign w:val="superscript"/>
        </w:rPr>
        <w:footnoteRef/>
      </w:r>
      <w:r w:rsidRPr="00C91F5C">
        <w:rPr>
          <w:rFonts w:ascii="EB Garamond" w:eastAsia="EB Garamond" w:hAnsi="EB Garamond" w:cs="EB Garamond"/>
          <w:sz w:val="20"/>
          <w:szCs w:val="20"/>
          <w:lang w:val="en-US"/>
        </w:rPr>
        <w:t xml:space="preserve"> “On </w:t>
      </w:r>
      <w:proofErr w:type="spellStart"/>
      <w:r w:rsidRPr="00C91F5C">
        <w:rPr>
          <w:rFonts w:ascii="EB Garamond" w:eastAsia="EB Garamond" w:hAnsi="EB Garamond" w:cs="EB Garamond"/>
          <w:sz w:val="20"/>
          <w:szCs w:val="20"/>
          <w:lang w:val="en-US"/>
        </w:rPr>
        <w:t>dirait</w:t>
      </w:r>
      <w:proofErr w:type="spellEnd"/>
      <w:r w:rsidRPr="00C91F5C">
        <w:rPr>
          <w:rFonts w:ascii="EB Garamond" w:eastAsia="EB Garamond" w:hAnsi="EB Garamond" w:cs="EB Garamond"/>
          <w:sz w:val="20"/>
          <w:szCs w:val="20"/>
          <w:lang w:val="en-US"/>
        </w:rPr>
        <w:t xml:space="preserve"> que </w:t>
      </w:r>
      <w:proofErr w:type="spellStart"/>
      <w:r w:rsidRPr="00C91F5C">
        <w:rPr>
          <w:rFonts w:ascii="EB Garamond" w:eastAsia="EB Garamond" w:hAnsi="EB Garamond" w:cs="EB Garamond"/>
          <w:sz w:val="20"/>
          <w:szCs w:val="20"/>
          <w:lang w:val="en-US"/>
        </w:rPr>
        <w:t>je</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raconte</w:t>
      </w:r>
      <w:proofErr w:type="spellEnd"/>
      <w:r w:rsidRPr="00C91F5C">
        <w:rPr>
          <w:rFonts w:ascii="EB Garamond" w:eastAsia="EB Garamond" w:hAnsi="EB Garamond" w:cs="EB Garamond"/>
          <w:sz w:val="20"/>
          <w:szCs w:val="20"/>
          <w:lang w:val="en-US"/>
        </w:rPr>
        <w:t xml:space="preserve"> des </w:t>
      </w:r>
      <w:proofErr w:type="spellStart"/>
      <w:r w:rsidRPr="00C91F5C">
        <w:rPr>
          <w:rFonts w:ascii="EB Garamond" w:eastAsia="EB Garamond" w:hAnsi="EB Garamond" w:cs="EB Garamond"/>
          <w:sz w:val="20"/>
          <w:szCs w:val="20"/>
          <w:lang w:val="en-US"/>
        </w:rPr>
        <w:t>événements</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survenus</w:t>
      </w:r>
      <w:proofErr w:type="spellEnd"/>
      <w:r w:rsidRPr="00C91F5C">
        <w:rPr>
          <w:rFonts w:ascii="EB Garamond" w:eastAsia="EB Garamond" w:hAnsi="EB Garamond" w:cs="EB Garamond"/>
          <w:sz w:val="20"/>
          <w:szCs w:val="20"/>
          <w:lang w:val="en-US"/>
        </w:rPr>
        <w:t xml:space="preserve"> </w:t>
      </w:r>
      <w:proofErr w:type="spellStart"/>
      <w:r w:rsidRPr="00C91F5C">
        <w:rPr>
          <w:rFonts w:ascii="EB Garamond" w:eastAsia="EB Garamond" w:hAnsi="EB Garamond" w:cs="EB Garamond"/>
          <w:sz w:val="20"/>
          <w:szCs w:val="20"/>
          <w:lang w:val="en-US"/>
        </w:rPr>
        <w:t>ailleurs</w:t>
      </w:r>
      <w:proofErr w:type="spellEnd"/>
      <w:r w:rsidRPr="00C91F5C">
        <w:rPr>
          <w:rFonts w:ascii="EB Garamond" w:eastAsia="EB Garamond" w:hAnsi="EB Garamond" w:cs="EB Garamond"/>
          <w:sz w:val="20"/>
          <w:szCs w:val="20"/>
          <w:lang w:val="en-US"/>
        </w:rPr>
        <w:t xml:space="preserve">, dans un pays </w:t>
      </w:r>
      <w:proofErr w:type="spellStart"/>
      <w:r w:rsidRPr="00C91F5C">
        <w:rPr>
          <w:rFonts w:ascii="EB Garamond" w:eastAsia="EB Garamond" w:hAnsi="EB Garamond" w:cs="EB Garamond"/>
          <w:sz w:val="20"/>
          <w:szCs w:val="20"/>
          <w:lang w:val="en-US"/>
        </w:rPr>
        <w:t>lointain</w:t>
      </w:r>
      <w:proofErr w:type="spellEnd"/>
      <w:r w:rsidRPr="00C91F5C">
        <w:rPr>
          <w:rFonts w:ascii="EB Garamond" w:eastAsia="EB Garamond" w:hAnsi="EB Garamond" w:cs="EB Garamond"/>
          <w:sz w:val="20"/>
          <w:szCs w:val="20"/>
          <w:lang w:val="en-US"/>
        </w:rPr>
        <w:t xml:space="preserve">, à </w:t>
      </w:r>
      <w:proofErr w:type="spellStart"/>
      <w:r w:rsidRPr="00C91F5C">
        <w:rPr>
          <w:rFonts w:ascii="EB Garamond" w:eastAsia="EB Garamond" w:hAnsi="EB Garamond" w:cs="EB Garamond"/>
          <w:sz w:val="20"/>
          <w:szCs w:val="20"/>
          <w:lang w:val="en-US"/>
        </w:rPr>
        <w:t>une</w:t>
      </w:r>
      <w:proofErr w:type="spellEnd"/>
      <w:r w:rsidRPr="00C91F5C">
        <w:rPr>
          <w:rFonts w:ascii="EB Garamond" w:eastAsia="EB Garamond" w:hAnsi="EB Garamond" w:cs="EB Garamond"/>
          <w:sz w:val="20"/>
          <w:szCs w:val="20"/>
          <w:lang w:val="en-US"/>
        </w:rPr>
        <w:t xml:space="preserve"> femme inconnue”.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4A93C" w14:textId="77777777" w:rsidR="00C91F5C" w:rsidRDefault="00C91F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A5853" w14:textId="6DA98C2E" w:rsidR="00706E29" w:rsidRDefault="0010754F">
    <w:pPr>
      <w:pStyle w:val="Cabealho"/>
    </w:pPr>
    <w:r>
      <w:rPr>
        <w:noProof/>
        <w:lang w:eastAsia="pt-BR"/>
      </w:rPr>
      <w:drawing>
        <wp:anchor distT="0" distB="0" distL="114300" distR="114300" simplePos="0" relativeHeight="251669504" behindDoc="0" locked="0" layoutInCell="1" allowOverlap="1" wp14:anchorId="1C73C509" wp14:editId="7B8C3ED1">
          <wp:simplePos x="0" y="0"/>
          <wp:positionH relativeFrom="column">
            <wp:posOffset>-1071456</wp:posOffset>
          </wp:positionH>
          <wp:positionV relativeFrom="paragraph">
            <wp:posOffset>-450172</wp:posOffset>
          </wp:positionV>
          <wp:extent cx="549547" cy="783935"/>
          <wp:effectExtent l="0" t="0" r="0" b="3810"/>
          <wp:wrapNone/>
          <wp:docPr id="1874060207" name="Imagem 1874060207" descr="Uma imagem com arte, esboço, design, padr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18365" name="Imagem 2073918365" descr="Uma imagem com arte, esboço, design, padrão&#10;&#10;Descrição gerada automaticamente"/>
                  <pic:cNvPicPr>
                    <a:picLocks noChangeAspect="1"/>
                  </pic:cNvPicPr>
                </pic:nvPicPr>
                <pic:blipFill>
                  <a:blip r:embed="rId1" cstate="print">
                    <a:biLevel thresh="25000"/>
                    <a:extLst>
                      <a:ext uri="{BEBA8EAE-BF5A-486C-A8C5-ECC9F3942E4B}">
                        <a14:imgProps xmlns:a14="http://schemas.microsoft.com/office/drawing/2010/main">
                          <a14:imgLayer r:embed="rId2">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9547" cy="7839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6432" behindDoc="0" locked="0" layoutInCell="1" allowOverlap="1" wp14:anchorId="471D8E3A" wp14:editId="44D6142B">
          <wp:simplePos x="0" y="0"/>
          <wp:positionH relativeFrom="column">
            <wp:posOffset>-782743</wp:posOffset>
          </wp:positionH>
          <wp:positionV relativeFrom="paragraph">
            <wp:posOffset>-452712</wp:posOffset>
          </wp:positionV>
          <wp:extent cx="549547" cy="783935"/>
          <wp:effectExtent l="0" t="0" r="0" b="3810"/>
          <wp:wrapNone/>
          <wp:docPr id="1414387044" name="Imagem 1414387044" descr="Uma imagem com arte, esboço, design, padr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18365" name="Imagem 2073918365" descr="Uma imagem com arte, esboço, design, padrão&#10;&#10;Descrição gerada automaticamente"/>
                  <pic:cNvPicPr>
                    <a:picLocks noChangeAspect="1"/>
                  </pic:cNvPicPr>
                </pic:nvPicPr>
                <pic:blipFill>
                  <a:blip r:embed="rId1" cstate="print">
                    <a:biLevel thresh="25000"/>
                    <a:extLst>
                      <a:ext uri="{BEBA8EAE-BF5A-486C-A8C5-ECC9F3942E4B}">
                        <a14:imgProps xmlns:a14="http://schemas.microsoft.com/office/drawing/2010/main">
                          <a14:imgLayer r:embed="rId2">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9547" cy="7839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648000" behindDoc="0" locked="0" layoutInCell="1" allowOverlap="1" wp14:anchorId="310E0C0A" wp14:editId="5E41AA5A">
              <wp:simplePos x="0" y="0"/>
              <wp:positionH relativeFrom="column">
                <wp:posOffset>-1071668</wp:posOffset>
              </wp:positionH>
              <wp:positionV relativeFrom="paragraph">
                <wp:posOffset>-450215</wp:posOffset>
              </wp:positionV>
              <wp:extent cx="2428875" cy="781050"/>
              <wp:effectExtent l="0" t="0" r="0" b="635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781050"/>
                      </a:xfrm>
                      <a:prstGeom prst="rect">
                        <a:avLst/>
                      </a:prstGeom>
                      <a:solidFill>
                        <a:srgbClr val="670001"/>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544E5D9" id="Retângulo 11" o:spid="_x0000_s1026" style="position:absolute;margin-left:-84.4pt;margin-top:-35.45pt;width:191.25pt;height:6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" fillcolor="#670001" stroked="f">
              <v:textbox inset="2.88pt,2.88pt,2.88pt,2.88pt"/>
            </v:rect>
          </w:pict>
        </mc:Fallback>
      </mc:AlternateContent>
    </w:r>
    <w:r>
      <w:rPr>
        <w:noProof/>
        <w:lang w:eastAsia="pt-BR"/>
      </w:rPr>
      <w:drawing>
        <wp:anchor distT="0" distB="0" distL="114300" distR="114300" simplePos="0" relativeHeight="251663360" behindDoc="0" locked="0" layoutInCell="1" allowOverlap="1" wp14:anchorId="29AD7913" wp14:editId="06B24623">
          <wp:simplePos x="0" y="0"/>
          <wp:positionH relativeFrom="column">
            <wp:posOffset>-495512</wp:posOffset>
          </wp:positionH>
          <wp:positionV relativeFrom="paragraph">
            <wp:posOffset>-452713</wp:posOffset>
          </wp:positionV>
          <wp:extent cx="549547" cy="783935"/>
          <wp:effectExtent l="0" t="0" r="0" b="3810"/>
          <wp:wrapNone/>
          <wp:docPr id="2073918365" name="Imagem 2073918365" descr="Uma imagem com arte, esboço, design, padr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18365" name="Imagem 2073918365" descr="Uma imagem com arte, esboço, design, padrão&#10;&#10;Descrição gerada automaticamente"/>
                  <pic:cNvPicPr>
                    <a:picLocks noChangeAspect="1"/>
                  </pic:cNvPicPr>
                </pic:nvPicPr>
                <pic:blipFill>
                  <a:blip r:embed="rId1" cstate="print">
                    <a:biLevel thresh="25000"/>
                    <a:extLst>
                      <a:ext uri="{BEBA8EAE-BF5A-486C-A8C5-ECC9F3942E4B}">
                        <a14:imgProps xmlns:a14="http://schemas.microsoft.com/office/drawing/2010/main">
                          <a14:imgLayer r:embed="rId2">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9547" cy="7839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0288" behindDoc="0" locked="0" layoutInCell="1" allowOverlap="1" wp14:anchorId="5E73AD62" wp14:editId="1BE49978">
          <wp:simplePos x="0" y="0"/>
          <wp:positionH relativeFrom="column">
            <wp:posOffset>-233469</wp:posOffset>
          </wp:positionH>
          <wp:positionV relativeFrom="paragraph">
            <wp:posOffset>-450215</wp:posOffset>
          </wp:positionV>
          <wp:extent cx="549547" cy="783935"/>
          <wp:effectExtent l="0" t="0" r="0" b="3810"/>
          <wp:wrapNone/>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pic:cNvPicPr>
                </pic:nvPicPr>
                <pic:blipFill>
                  <a:blip r:embed="rId1" cstate="print">
                    <a:biLevel thresh="25000"/>
                    <a:extLst>
                      <a:ext uri="{BEBA8EAE-BF5A-486C-A8C5-ECC9F3942E4B}">
                        <a14:imgProps xmlns:a14="http://schemas.microsoft.com/office/drawing/2010/main">
                          <a14:imgLayer r:embed="rId2">
                            <a14:imgEffect>
                              <a14:colorTemperature colorTemp="53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56206" cy="7934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1D03E1">
      <w:rPr>
        <w:noProof/>
        <w:lang w:eastAsia="pt-BR"/>
      </w:rPr>
      <mc:AlternateContent>
        <mc:Choice Requires="wps">
          <w:drawing>
            <wp:anchor distT="0" distB="0" distL="114300" distR="114300" simplePos="0" relativeHeight="251654144" behindDoc="0" locked="0" layoutInCell="1" allowOverlap="1" wp14:anchorId="39326CDE" wp14:editId="5E8742BC">
              <wp:simplePos x="0" y="0"/>
              <wp:positionH relativeFrom="column">
                <wp:posOffset>1460500</wp:posOffset>
              </wp:positionH>
              <wp:positionV relativeFrom="paragraph">
                <wp:posOffset>-299085</wp:posOffset>
              </wp:positionV>
              <wp:extent cx="3455035" cy="809625"/>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035" cy="809625"/>
                      </a:xfrm>
                      <a:prstGeom prst="rect">
                        <a:avLst/>
                      </a:prstGeom>
                      <a:noFill/>
                      <a:ln w="9525">
                        <a:noFill/>
                        <a:miter lim="800000"/>
                        <a:headEnd/>
                        <a:tailEnd/>
                      </a:ln>
                    </wps:spPr>
                    <wps:txbx>
                      <w:txbxContent>
                        <w:p w14:paraId="43277E17" w14:textId="77777777" w:rsidR="00D10792" w:rsidRDefault="00D10792" w:rsidP="00D10792">
                          <w:pPr>
                            <w:spacing w:after="0" w:line="240" w:lineRule="auto"/>
                            <w:jc w:val="both"/>
                            <w:rPr>
                              <w:rFonts w:ascii="Garamond" w:hAnsi="Garamond"/>
                              <w:sz w:val="18"/>
                            </w:rPr>
                          </w:pPr>
                        </w:p>
                        <w:p w14:paraId="5D1D0D53" w14:textId="77777777" w:rsidR="001D3766" w:rsidRPr="001D3766" w:rsidRDefault="001D3766" w:rsidP="00D10792">
                          <w:pPr>
                            <w:spacing w:after="0" w:line="240" w:lineRule="auto"/>
                            <w:jc w:val="both"/>
                            <w:rPr>
                              <w:rFonts w:ascii="Garamond" w:hAnsi="Garamond"/>
                              <w:sz w:val="6"/>
                            </w:rPr>
                          </w:pPr>
                        </w:p>
                        <w:p w14:paraId="7583DD3C" w14:textId="5F2718A9" w:rsidR="00D10792" w:rsidRPr="001D3766" w:rsidRDefault="00D10792" w:rsidP="00D10792">
                          <w:pPr>
                            <w:spacing w:after="0" w:line="240" w:lineRule="auto"/>
                            <w:jc w:val="both"/>
                            <w:rPr>
                              <w:rFonts w:ascii="Garamond" w:hAnsi="Garamond"/>
                              <w:sz w:val="10"/>
                            </w:rPr>
                          </w:pPr>
                          <w:r w:rsidRPr="001D3766">
                            <w:rPr>
                              <w:rFonts w:ascii="Garamond" w:hAnsi="Garamond"/>
                              <w:sz w:val="18"/>
                            </w:rPr>
                            <w:t xml:space="preserve">Feira de Santana, v. </w:t>
                          </w:r>
                          <w:r w:rsidR="00057AD4">
                            <w:rPr>
                              <w:rFonts w:ascii="Garamond" w:hAnsi="Garamond"/>
                              <w:sz w:val="18"/>
                            </w:rPr>
                            <w:t>26</w:t>
                          </w:r>
                          <w:r w:rsidRPr="001D3766">
                            <w:rPr>
                              <w:rFonts w:ascii="Garamond" w:hAnsi="Garamond"/>
                              <w:sz w:val="18"/>
                            </w:rPr>
                            <w:t xml:space="preserve">, n. </w:t>
                          </w:r>
                          <w:r w:rsidR="00057AD4">
                            <w:rPr>
                              <w:rFonts w:ascii="Garamond" w:hAnsi="Garamond"/>
                              <w:sz w:val="18"/>
                            </w:rPr>
                            <w:t>2</w:t>
                          </w:r>
                          <w:r w:rsidR="0070612C">
                            <w:rPr>
                              <w:rFonts w:ascii="Garamond" w:hAnsi="Garamond"/>
                              <w:sz w:val="18"/>
                            </w:rPr>
                            <w:t>.</w:t>
                          </w:r>
                          <w:r w:rsidRPr="001D3766">
                            <w:rPr>
                              <w:rFonts w:ascii="Garamond" w:hAnsi="Garamond"/>
                              <w:sz w:val="18"/>
                            </w:rPr>
                            <w:t xml:space="preserve">, p. </w:t>
                          </w:r>
                          <w:r w:rsidR="00C91F5C">
                            <w:rPr>
                              <w:rFonts w:ascii="Garamond" w:hAnsi="Garamond"/>
                              <w:sz w:val="18"/>
                            </w:rPr>
                            <w:t>47-60 de dezembro de</w:t>
                          </w:r>
                          <w:r w:rsidRPr="001D3766">
                            <w:rPr>
                              <w:rFonts w:ascii="Garamond" w:hAnsi="Garamond"/>
                              <w:sz w:val="18"/>
                            </w:rPr>
                            <w:t xml:space="preserve"> </w:t>
                          </w:r>
                          <w:r w:rsidR="00EE00FD">
                            <w:rPr>
                              <w:rFonts w:ascii="Garamond" w:hAnsi="Garamond"/>
                              <w:sz w:val="18"/>
                            </w:rPr>
                            <w:t>20</w:t>
                          </w:r>
                          <w:r w:rsidR="00057AD4">
                            <w:rPr>
                              <w:rFonts w:ascii="Garamond" w:hAnsi="Garamond"/>
                              <w:sz w:val="18"/>
                            </w:rPr>
                            <w:t>2</w:t>
                          </w:r>
                          <w:r w:rsidR="00C91F5C">
                            <w:rPr>
                              <w:rFonts w:ascii="Garamond" w:hAnsi="Garamond"/>
                              <w:sz w:val="18"/>
                            </w:rPr>
                            <w:t>5</w:t>
                          </w:r>
                        </w:p>
                        <w:p w14:paraId="5ECB4965" w14:textId="77777777" w:rsidR="00D10792" w:rsidRPr="00052E17" w:rsidRDefault="00D10792" w:rsidP="00D10792">
                          <w:pPr>
                            <w:spacing w:after="0"/>
                            <w:jc w:val="both"/>
                            <w:rPr>
                              <w:rFonts w:ascii="Garamond" w:hAnsi="Garamond"/>
                              <w:i/>
                              <w:color w:val="670001"/>
                              <w:sz w:val="18"/>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type w14:anchorId="39326CDE" id="_x0000_t202" coordsize="21600,21600" o:spt="202" path="m,l,21600r21600,l21600,xe">
              <v:stroke joinstyle="miter"/>
              <v:path gradientshapeok="t" o:connecttype="rect"/>
            </v:shapetype>
            <v:shape id="_x0000_s1028" type="#_x0000_t202" style="position:absolute;margin-left:115pt;margin-top:-23.55pt;width:272.05pt;height:6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" filled="f" stroked="f">
              <v:textbox>
                <w:txbxContent>
                  <w:p w14:paraId="43277E17" w14:textId="77777777" w:rsidR="00D10792" w:rsidRDefault="00D10792" w:rsidP="00D10792">
                    <w:pPr>
                      <w:spacing w:after="0" w:line="240" w:lineRule="auto"/>
                      <w:jc w:val="both"/>
                      <w:rPr>
                        <w:rFonts w:ascii="Garamond" w:hAnsi="Garamond"/>
                        <w:sz w:val="18"/>
                      </w:rPr>
                    </w:pPr>
                  </w:p>
                  <w:p w14:paraId="5D1D0D53" w14:textId="77777777" w:rsidR="001D3766" w:rsidRPr="001D3766" w:rsidRDefault="001D3766" w:rsidP="00D10792">
                    <w:pPr>
                      <w:spacing w:after="0" w:line="240" w:lineRule="auto"/>
                      <w:jc w:val="both"/>
                      <w:rPr>
                        <w:rFonts w:ascii="Garamond" w:hAnsi="Garamond"/>
                        <w:sz w:val="6"/>
                      </w:rPr>
                    </w:pPr>
                  </w:p>
                  <w:p w14:paraId="7583DD3C" w14:textId="5F2718A9" w:rsidR="00D10792" w:rsidRPr="001D3766" w:rsidRDefault="00D10792" w:rsidP="00D10792">
                    <w:pPr>
                      <w:spacing w:after="0" w:line="240" w:lineRule="auto"/>
                      <w:jc w:val="both"/>
                      <w:rPr>
                        <w:rFonts w:ascii="Garamond" w:hAnsi="Garamond"/>
                        <w:sz w:val="10"/>
                      </w:rPr>
                    </w:pPr>
                    <w:r w:rsidRPr="001D3766">
                      <w:rPr>
                        <w:rFonts w:ascii="Garamond" w:hAnsi="Garamond"/>
                        <w:sz w:val="18"/>
                      </w:rPr>
                      <w:t xml:space="preserve">Feira de Santana, v. </w:t>
                    </w:r>
                    <w:r w:rsidR="00057AD4">
                      <w:rPr>
                        <w:rFonts w:ascii="Garamond" w:hAnsi="Garamond"/>
                        <w:sz w:val="18"/>
                      </w:rPr>
                      <w:t>26</w:t>
                    </w:r>
                    <w:r w:rsidRPr="001D3766">
                      <w:rPr>
                        <w:rFonts w:ascii="Garamond" w:hAnsi="Garamond"/>
                        <w:sz w:val="18"/>
                      </w:rPr>
                      <w:t xml:space="preserve">, n. </w:t>
                    </w:r>
                    <w:r w:rsidR="00057AD4">
                      <w:rPr>
                        <w:rFonts w:ascii="Garamond" w:hAnsi="Garamond"/>
                        <w:sz w:val="18"/>
                      </w:rPr>
                      <w:t>2</w:t>
                    </w:r>
                    <w:r w:rsidR="0070612C">
                      <w:rPr>
                        <w:rFonts w:ascii="Garamond" w:hAnsi="Garamond"/>
                        <w:sz w:val="18"/>
                      </w:rPr>
                      <w:t>.</w:t>
                    </w:r>
                    <w:r w:rsidRPr="001D3766">
                      <w:rPr>
                        <w:rFonts w:ascii="Garamond" w:hAnsi="Garamond"/>
                        <w:sz w:val="18"/>
                      </w:rPr>
                      <w:t xml:space="preserve">, p. </w:t>
                    </w:r>
                    <w:r w:rsidR="00C91F5C">
                      <w:rPr>
                        <w:rFonts w:ascii="Garamond" w:hAnsi="Garamond"/>
                        <w:sz w:val="18"/>
                      </w:rPr>
                      <w:t>47-60 de dezembro de</w:t>
                    </w:r>
                    <w:r w:rsidRPr="001D3766">
                      <w:rPr>
                        <w:rFonts w:ascii="Garamond" w:hAnsi="Garamond"/>
                        <w:sz w:val="18"/>
                      </w:rPr>
                      <w:t xml:space="preserve"> </w:t>
                    </w:r>
                    <w:r w:rsidR="00EE00FD">
                      <w:rPr>
                        <w:rFonts w:ascii="Garamond" w:hAnsi="Garamond"/>
                        <w:sz w:val="18"/>
                      </w:rPr>
                      <w:t>20</w:t>
                    </w:r>
                    <w:r w:rsidR="00057AD4">
                      <w:rPr>
                        <w:rFonts w:ascii="Garamond" w:hAnsi="Garamond"/>
                        <w:sz w:val="18"/>
                      </w:rPr>
                      <w:t>2</w:t>
                    </w:r>
                    <w:r w:rsidR="00C91F5C">
                      <w:rPr>
                        <w:rFonts w:ascii="Garamond" w:hAnsi="Garamond"/>
                        <w:sz w:val="18"/>
                      </w:rPr>
                      <w:t>5</w:t>
                    </w:r>
                  </w:p>
                  <w:p w14:paraId="5ECB4965" w14:textId="77777777" w:rsidR="00D10792" w:rsidRPr="00052E17" w:rsidRDefault="00D10792" w:rsidP="00D10792">
                    <w:pPr>
                      <w:spacing w:after="0"/>
                      <w:jc w:val="both"/>
                      <w:rPr>
                        <w:rFonts w:ascii="Garamond" w:hAnsi="Garamond"/>
                        <w:i/>
                        <w:color w:val="670001"/>
                        <w:sz w:val="18"/>
                      </w:rPr>
                    </w:pPr>
                  </w:p>
                </w:txbxContent>
              </v:textbox>
            </v:shape>
          </w:pict>
        </mc:Fallback>
      </mc:AlternateContent>
    </w:r>
    <w:r w:rsidR="001D03E1">
      <w:rPr>
        <w:noProof/>
        <w:lang w:eastAsia="pt-BR"/>
      </w:rPr>
      <mc:AlternateContent>
        <mc:Choice Requires="wps">
          <w:drawing>
            <wp:anchor distT="4294967294" distB="4294967294" distL="114300" distR="114300" simplePos="0" relativeHeight="251656192" behindDoc="0" locked="0" layoutInCell="1" allowOverlap="1" wp14:anchorId="06180815" wp14:editId="62FAC2AD">
              <wp:simplePos x="0" y="0"/>
              <wp:positionH relativeFrom="column">
                <wp:posOffset>1567815</wp:posOffset>
              </wp:positionH>
              <wp:positionV relativeFrom="paragraph">
                <wp:posOffset>92709</wp:posOffset>
              </wp:positionV>
              <wp:extent cx="3295650" cy="0"/>
              <wp:effectExtent l="0" t="0" r="0" b="0"/>
              <wp:wrapNone/>
              <wp:docPr id="12" name="Conector re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95650" cy="0"/>
                      </a:xfrm>
                      <a:prstGeom prst="line">
                        <a:avLst/>
                      </a:prstGeom>
                      <a:solidFill>
                        <a:srgbClr val="304C6A"/>
                      </a:solidFill>
                      <a:ln w="9525">
                        <a:solidFill>
                          <a:srgbClr val="304C6A"/>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5CE9724" id="Conector reto 12" o:spid="_x0000_s1026" style="position:absolute;flip:x;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45pt,7.3pt" to="382.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" filled="t" fillcolor="#304c6a" strokecolor="#304c6a">
              <v:stroke joinstyle="miter"/>
              <v:shadow color="black [0]"/>
              <o:lock v:ext="edit" shapetype="f"/>
            </v:line>
          </w:pict>
        </mc:Fallback>
      </mc:AlternateContent>
    </w:r>
    <w:r w:rsidR="001D3766">
      <w:rPr>
        <w:noProof/>
        <w:lang w:eastAsia="pt-BR"/>
      </w:rPr>
      <w:drawing>
        <wp:anchor distT="0" distB="0" distL="114300" distR="114300" simplePos="0" relativeHeight="251651072" behindDoc="0" locked="0" layoutInCell="1" allowOverlap="1" wp14:anchorId="490B57C4" wp14:editId="053811C9">
          <wp:simplePos x="0" y="0"/>
          <wp:positionH relativeFrom="column">
            <wp:posOffset>310515</wp:posOffset>
          </wp:positionH>
          <wp:positionV relativeFrom="paragraph">
            <wp:posOffset>-350520</wp:posOffset>
          </wp:positionV>
          <wp:extent cx="876300" cy="553939"/>
          <wp:effectExtent l="0" t="0" r="0" b="0"/>
          <wp:wrapNone/>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pic:cNvPicPr>
                </pic:nvPicPr>
                <pic:blipFill>
                  <a:blip r:embed="rId3" cstate="print">
                    <a:extLst>
                      <a:ext uri="{BEBA8EAE-BF5A-486C-A8C5-ECC9F3942E4B}">
                        <a14:imgProps xmlns:a14="http://schemas.microsoft.com/office/drawing/2010/main">
                          <a14:imgLayer r:embed="rId4">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76300" cy="55393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A7E75" w14:textId="77777777" w:rsidR="0089392C" w:rsidRDefault="0089392C" w:rsidP="0089392C">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3AC350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0" type="#_x0000_t75" style="width:168.45pt;height:168.45pt;visibility:visible;mso-wrap-style:square" o:bullet="t">
        <v:imagedata r:id="rId1" o:title=""/>
      </v:shape>
    </w:pict>
  </w:numPicBullet>
  <w:abstractNum w:abstractNumId="0" w15:restartNumberingAfterBreak="0">
    <w:nsid w:val="AC7FABE2"/>
    <w:multiLevelType w:val="singleLevel"/>
    <w:tmpl w:val="AC7FABE2"/>
    <w:lvl w:ilvl="0">
      <w:start w:val="1"/>
      <w:numFmt w:val="decimal"/>
      <w:suff w:val="space"/>
      <w:lvlText w:val="%1."/>
      <w:lvlJc w:val="left"/>
    </w:lvl>
  </w:abstractNum>
  <w:abstractNum w:abstractNumId="1" w15:restartNumberingAfterBreak="0">
    <w:nsid w:val="029833EE"/>
    <w:multiLevelType w:val="multilevel"/>
    <w:tmpl w:val="EB362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44EB6"/>
    <w:multiLevelType w:val="hybridMultilevel"/>
    <w:tmpl w:val="4F9EAFBE"/>
    <w:lvl w:ilvl="0" w:tplc="CFAC86C2">
      <w:start w:val="4"/>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C2A6022"/>
    <w:multiLevelType w:val="multilevel"/>
    <w:tmpl w:val="A9A6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179C1"/>
    <w:multiLevelType w:val="multilevel"/>
    <w:tmpl w:val="BCF0CD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58C44F3"/>
    <w:multiLevelType w:val="hybridMultilevel"/>
    <w:tmpl w:val="5948BC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8842C4F"/>
    <w:multiLevelType w:val="hybridMultilevel"/>
    <w:tmpl w:val="227C4FB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524B5194"/>
    <w:multiLevelType w:val="hybridMultilevel"/>
    <w:tmpl w:val="B73E451E"/>
    <w:lvl w:ilvl="0" w:tplc="48847194">
      <w:start w:val="4"/>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3F13A16"/>
    <w:multiLevelType w:val="multilevel"/>
    <w:tmpl w:val="6DA49D1A"/>
    <w:lvl w:ilvl="0">
      <w:start w:val="2"/>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color w:val="auto"/>
        <w:sz w:val="24"/>
      </w:rPr>
    </w:lvl>
    <w:lvl w:ilvl="2">
      <w:start w:val="1"/>
      <w:numFmt w:val="decimal"/>
      <w:isLgl/>
      <w:lvlText w:val="%1.%2.%3"/>
      <w:lvlJc w:val="left"/>
      <w:pPr>
        <w:ind w:left="1800" w:hanging="720"/>
      </w:pPr>
      <w:rPr>
        <w:rFonts w:hint="default"/>
        <w:b/>
        <w:color w:val="auto"/>
        <w:sz w:val="24"/>
      </w:rPr>
    </w:lvl>
    <w:lvl w:ilvl="3">
      <w:start w:val="1"/>
      <w:numFmt w:val="decimal"/>
      <w:isLgl/>
      <w:lvlText w:val="%1.%2.%3.%4"/>
      <w:lvlJc w:val="left"/>
      <w:pPr>
        <w:ind w:left="2160" w:hanging="720"/>
      </w:pPr>
      <w:rPr>
        <w:rFonts w:hint="default"/>
        <w:b/>
        <w:color w:val="auto"/>
        <w:sz w:val="24"/>
      </w:rPr>
    </w:lvl>
    <w:lvl w:ilvl="4">
      <w:start w:val="1"/>
      <w:numFmt w:val="decimal"/>
      <w:isLgl/>
      <w:lvlText w:val="%1.%2.%3.%4.%5"/>
      <w:lvlJc w:val="left"/>
      <w:pPr>
        <w:ind w:left="2520" w:hanging="720"/>
      </w:pPr>
      <w:rPr>
        <w:rFonts w:hint="default"/>
        <w:b/>
        <w:color w:val="auto"/>
        <w:sz w:val="24"/>
      </w:rPr>
    </w:lvl>
    <w:lvl w:ilvl="5">
      <w:start w:val="1"/>
      <w:numFmt w:val="decimal"/>
      <w:isLgl/>
      <w:lvlText w:val="%1.%2.%3.%4.%5.%6"/>
      <w:lvlJc w:val="left"/>
      <w:pPr>
        <w:ind w:left="3240" w:hanging="1080"/>
      </w:pPr>
      <w:rPr>
        <w:rFonts w:hint="default"/>
        <w:b/>
        <w:color w:val="auto"/>
        <w:sz w:val="24"/>
      </w:rPr>
    </w:lvl>
    <w:lvl w:ilvl="6">
      <w:start w:val="1"/>
      <w:numFmt w:val="decimal"/>
      <w:isLgl/>
      <w:lvlText w:val="%1.%2.%3.%4.%5.%6.%7"/>
      <w:lvlJc w:val="left"/>
      <w:pPr>
        <w:ind w:left="3600" w:hanging="1080"/>
      </w:pPr>
      <w:rPr>
        <w:rFonts w:hint="default"/>
        <w:b/>
        <w:color w:val="auto"/>
        <w:sz w:val="24"/>
      </w:rPr>
    </w:lvl>
    <w:lvl w:ilvl="7">
      <w:start w:val="1"/>
      <w:numFmt w:val="decimal"/>
      <w:isLgl/>
      <w:lvlText w:val="%1.%2.%3.%4.%5.%6.%7.%8"/>
      <w:lvlJc w:val="left"/>
      <w:pPr>
        <w:ind w:left="4320" w:hanging="1440"/>
      </w:pPr>
      <w:rPr>
        <w:rFonts w:hint="default"/>
        <w:b/>
        <w:color w:val="auto"/>
        <w:sz w:val="24"/>
      </w:rPr>
    </w:lvl>
    <w:lvl w:ilvl="8">
      <w:start w:val="1"/>
      <w:numFmt w:val="decimal"/>
      <w:isLgl/>
      <w:lvlText w:val="%1.%2.%3.%4.%5.%6.%7.%8.%9"/>
      <w:lvlJc w:val="left"/>
      <w:pPr>
        <w:ind w:left="4680" w:hanging="1440"/>
      </w:pPr>
      <w:rPr>
        <w:rFonts w:hint="default"/>
        <w:b/>
        <w:color w:val="auto"/>
        <w:sz w:val="24"/>
      </w:rPr>
    </w:lvl>
  </w:abstractNum>
  <w:abstractNum w:abstractNumId="9" w15:restartNumberingAfterBreak="0">
    <w:nsid w:val="7A3512C1"/>
    <w:multiLevelType w:val="hybridMultilevel"/>
    <w:tmpl w:val="57DE30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80447819">
    <w:abstractNumId w:val="7"/>
  </w:num>
  <w:num w:numId="2" w16cid:durableId="1572882927">
    <w:abstractNumId w:val="2"/>
  </w:num>
  <w:num w:numId="3" w16cid:durableId="1991788772">
    <w:abstractNumId w:val="1"/>
  </w:num>
  <w:num w:numId="4" w16cid:durableId="1257906083">
    <w:abstractNumId w:val="9"/>
  </w:num>
  <w:num w:numId="5" w16cid:durableId="1352684788">
    <w:abstractNumId w:val="5"/>
  </w:num>
  <w:num w:numId="6" w16cid:durableId="1378313300">
    <w:abstractNumId w:val="6"/>
  </w:num>
  <w:num w:numId="7" w16cid:durableId="1919050719">
    <w:abstractNumId w:val="0"/>
  </w:num>
  <w:num w:numId="8" w16cid:durableId="342709274">
    <w:abstractNumId w:val="4"/>
  </w:num>
  <w:num w:numId="9" w16cid:durableId="1114666291">
    <w:abstractNumId w:val="8"/>
  </w:num>
  <w:num w:numId="10" w16cid:durableId="253129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es-AR" w:vendorID="64" w:dllVersion="0" w:nlCheck="1" w:checkStyle="0"/>
  <w:activeWritingStyle w:appName="MSWord" w:lang="es-ES" w:vendorID="64" w:dllVersion="6" w:nlCheck="1" w:checkStyle="0"/>
  <w:activeWritingStyle w:appName="MSWord" w:lang="es-419"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ES_tradnl" w:vendorID="64" w:dllVersion="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38"/>
    <w:rsid w:val="00036D36"/>
    <w:rsid w:val="00044E13"/>
    <w:rsid w:val="00045AAD"/>
    <w:rsid w:val="00050A5E"/>
    <w:rsid w:val="00052E17"/>
    <w:rsid w:val="00056FEC"/>
    <w:rsid w:val="00057AD4"/>
    <w:rsid w:val="000679B7"/>
    <w:rsid w:val="00076EBD"/>
    <w:rsid w:val="00093112"/>
    <w:rsid w:val="00093C26"/>
    <w:rsid w:val="00097AD7"/>
    <w:rsid w:val="000A03F4"/>
    <w:rsid w:val="000A0B32"/>
    <w:rsid w:val="000B127F"/>
    <w:rsid w:val="000C10C6"/>
    <w:rsid w:val="000C16DC"/>
    <w:rsid w:val="000D5299"/>
    <w:rsid w:val="00101BBC"/>
    <w:rsid w:val="001049E6"/>
    <w:rsid w:val="0010754F"/>
    <w:rsid w:val="001201EC"/>
    <w:rsid w:val="00130B69"/>
    <w:rsid w:val="0013530D"/>
    <w:rsid w:val="00136635"/>
    <w:rsid w:val="001428F5"/>
    <w:rsid w:val="001443F7"/>
    <w:rsid w:val="001471D9"/>
    <w:rsid w:val="00152EBC"/>
    <w:rsid w:val="00154A4E"/>
    <w:rsid w:val="00186826"/>
    <w:rsid w:val="001904C4"/>
    <w:rsid w:val="001A0CFF"/>
    <w:rsid w:val="001A129B"/>
    <w:rsid w:val="001A1763"/>
    <w:rsid w:val="001A2C2E"/>
    <w:rsid w:val="001A33F0"/>
    <w:rsid w:val="001A6FE3"/>
    <w:rsid w:val="001B527B"/>
    <w:rsid w:val="001B6EEE"/>
    <w:rsid w:val="001C0408"/>
    <w:rsid w:val="001D03E1"/>
    <w:rsid w:val="001D1476"/>
    <w:rsid w:val="001D3766"/>
    <w:rsid w:val="001D5D70"/>
    <w:rsid w:val="001E4F6D"/>
    <w:rsid w:val="001E66C8"/>
    <w:rsid w:val="001F39B8"/>
    <w:rsid w:val="001F7F07"/>
    <w:rsid w:val="00204BA9"/>
    <w:rsid w:val="002062DA"/>
    <w:rsid w:val="00214D98"/>
    <w:rsid w:val="0021715B"/>
    <w:rsid w:val="0022277C"/>
    <w:rsid w:val="00223DB4"/>
    <w:rsid w:val="00231119"/>
    <w:rsid w:val="0024303F"/>
    <w:rsid w:val="00246050"/>
    <w:rsid w:val="00256930"/>
    <w:rsid w:val="00264071"/>
    <w:rsid w:val="00267ED7"/>
    <w:rsid w:val="0027215C"/>
    <w:rsid w:val="002848E4"/>
    <w:rsid w:val="00286949"/>
    <w:rsid w:val="00290D48"/>
    <w:rsid w:val="0029277D"/>
    <w:rsid w:val="00293EAC"/>
    <w:rsid w:val="00296843"/>
    <w:rsid w:val="00296D47"/>
    <w:rsid w:val="00297AC6"/>
    <w:rsid w:val="002A15B7"/>
    <w:rsid w:val="002A5BD4"/>
    <w:rsid w:val="002F4170"/>
    <w:rsid w:val="00300B2F"/>
    <w:rsid w:val="00300C44"/>
    <w:rsid w:val="003032E9"/>
    <w:rsid w:val="00310628"/>
    <w:rsid w:val="00311E1D"/>
    <w:rsid w:val="003239BC"/>
    <w:rsid w:val="003249F1"/>
    <w:rsid w:val="00326EAA"/>
    <w:rsid w:val="00327970"/>
    <w:rsid w:val="00332AED"/>
    <w:rsid w:val="00347A07"/>
    <w:rsid w:val="00352186"/>
    <w:rsid w:val="00364026"/>
    <w:rsid w:val="0036616A"/>
    <w:rsid w:val="00370544"/>
    <w:rsid w:val="00376882"/>
    <w:rsid w:val="00380E14"/>
    <w:rsid w:val="00385940"/>
    <w:rsid w:val="0039127A"/>
    <w:rsid w:val="00394421"/>
    <w:rsid w:val="003A0A7A"/>
    <w:rsid w:val="003A14EA"/>
    <w:rsid w:val="003A319F"/>
    <w:rsid w:val="003B0B9C"/>
    <w:rsid w:val="003B4D3B"/>
    <w:rsid w:val="003B6903"/>
    <w:rsid w:val="003D127C"/>
    <w:rsid w:val="003D4F6F"/>
    <w:rsid w:val="003E08A1"/>
    <w:rsid w:val="003E1E55"/>
    <w:rsid w:val="003E43D2"/>
    <w:rsid w:val="003E786D"/>
    <w:rsid w:val="003F7589"/>
    <w:rsid w:val="004042E7"/>
    <w:rsid w:val="004156F5"/>
    <w:rsid w:val="00415DF1"/>
    <w:rsid w:val="00425D7D"/>
    <w:rsid w:val="00432B03"/>
    <w:rsid w:val="004361F8"/>
    <w:rsid w:val="00440139"/>
    <w:rsid w:val="00444F0F"/>
    <w:rsid w:val="00452D2E"/>
    <w:rsid w:val="0046130C"/>
    <w:rsid w:val="00465D99"/>
    <w:rsid w:val="00474C5E"/>
    <w:rsid w:val="00476402"/>
    <w:rsid w:val="004824F0"/>
    <w:rsid w:val="00487B01"/>
    <w:rsid w:val="00492002"/>
    <w:rsid w:val="0049633E"/>
    <w:rsid w:val="004A0549"/>
    <w:rsid w:val="004A1852"/>
    <w:rsid w:val="004A1CC5"/>
    <w:rsid w:val="004B0DF7"/>
    <w:rsid w:val="004C32A1"/>
    <w:rsid w:val="004D4DFE"/>
    <w:rsid w:val="004E35BD"/>
    <w:rsid w:val="004E35E7"/>
    <w:rsid w:val="004E4A2B"/>
    <w:rsid w:val="00500A45"/>
    <w:rsid w:val="0050368C"/>
    <w:rsid w:val="00513829"/>
    <w:rsid w:val="00522346"/>
    <w:rsid w:val="005232C5"/>
    <w:rsid w:val="00534B48"/>
    <w:rsid w:val="005354DB"/>
    <w:rsid w:val="005429F9"/>
    <w:rsid w:val="00543B7C"/>
    <w:rsid w:val="0055250A"/>
    <w:rsid w:val="00552AAE"/>
    <w:rsid w:val="00565ED6"/>
    <w:rsid w:val="00577067"/>
    <w:rsid w:val="005834D0"/>
    <w:rsid w:val="0058660B"/>
    <w:rsid w:val="005A11E8"/>
    <w:rsid w:val="005B778D"/>
    <w:rsid w:val="005C5E75"/>
    <w:rsid w:val="005D2DCE"/>
    <w:rsid w:val="005D4A5C"/>
    <w:rsid w:val="005D6DF0"/>
    <w:rsid w:val="005E109D"/>
    <w:rsid w:val="005E43E6"/>
    <w:rsid w:val="005E6DFE"/>
    <w:rsid w:val="005F1781"/>
    <w:rsid w:val="005F1AEA"/>
    <w:rsid w:val="005F1D2C"/>
    <w:rsid w:val="005F701B"/>
    <w:rsid w:val="005F7F30"/>
    <w:rsid w:val="00614A6C"/>
    <w:rsid w:val="00614E64"/>
    <w:rsid w:val="00621190"/>
    <w:rsid w:val="00623D19"/>
    <w:rsid w:val="00623F9A"/>
    <w:rsid w:val="00636D64"/>
    <w:rsid w:val="00640C24"/>
    <w:rsid w:val="00653D17"/>
    <w:rsid w:val="006706EB"/>
    <w:rsid w:val="006713B9"/>
    <w:rsid w:val="00671FC6"/>
    <w:rsid w:val="00673250"/>
    <w:rsid w:val="006746EC"/>
    <w:rsid w:val="006A30C9"/>
    <w:rsid w:val="006A6100"/>
    <w:rsid w:val="006B16CC"/>
    <w:rsid w:val="006B3079"/>
    <w:rsid w:val="006D4D89"/>
    <w:rsid w:val="006E67A0"/>
    <w:rsid w:val="006F0D0C"/>
    <w:rsid w:val="0070612C"/>
    <w:rsid w:val="00706260"/>
    <w:rsid w:val="0070685C"/>
    <w:rsid w:val="00706E29"/>
    <w:rsid w:val="007237B1"/>
    <w:rsid w:val="00737CC6"/>
    <w:rsid w:val="00742434"/>
    <w:rsid w:val="0075749E"/>
    <w:rsid w:val="007726B8"/>
    <w:rsid w:val="00781BA7"/>
    <w:rsid w:val="00784E47"/>
    <w:rsid w:val="007861CD"/>
    <w:rsid w:val="00790465"/>
    <w:rsid w:val="007934B5"/>
    <w:rsid w:val="007B294F"/>
    <w:rsid w:val="007C428F"/>
    <w:rsid w:val="007C5515"/>
    <w:rsid w:val="007C7891"/>
    <w:rsid w:val="007D5E2E"/>
    <w:rsid w:val="007E2ADF"/>
    <w:rsid w:val="007E2E9B"/>
    <w:rsid w:val="007E63CE"/>
    <w:rsid w:val="007E746A"/>
    <w:rsid w:val="007F2733"/>
    <w:rsid w:val="008005C4"/>
    <w:rsid w:val="00801DF1"/>
    <w:rsid w:val="0080347D"/>
    <w:rsid w:val="00804E3C"/>
    <w:rsid w:val="00806162"/>
    <w:rsid w:val="00806B37"/>
    <w:rsid w:val="00830D52"/>
    <w:rsid w:val="0083330C"/>
    <w:rsid w:val="00837598"/>
    <w:rsid w:val="00843193"/>
    <w:rsid w:val="008438E1"/>
    <w:rsid w:val="008440F1"/>
    <w:rsid w:val="00846D38"/>
    <w:rsid w:val="00847624"/>
    <w:rsid w:val="00855386"/>
    <w:rsid w:val="008564EC"/>
    <w:rsid w:val="008621C4"/>
    <w:rsid w:val="00876108"/>
    <w:rsid w:val="00877DD7"/>
    <w:rsid w:val="00882D41"/>
    <w:rsid w:val="00886F0E"/>
    <w:rsid w:val="0089392C"/>
    <w:rsid w:val="008A0FD1"/>
    <w:rsid w:val="008A6284"/>
    <w:rsid w:val="008B3B07"/>
    <w:rsid w:val="008B595B"/>
    <w:rsid w:val="008C712D"/>
    <w:rsid w:val="008C7960"/>
    <w:rsid w:val="008E1510"/>
    <w:rsid w:val="008E7AA0"/>
    <w:rsid w:val="008F4BED"/>
    <w:rsid w:val="0091056C"/>
    <w:rsid w:val="009109DC"/>
    <w:rsid w:val="00923D50"/>
    <w:rsid w:val="0092643F"/>
    <w:rsid w:val="009265DB"/>
    <w:rsid w:val="0093076B"/>
    <w:rsid w:val="00932220"/>
    <w:rsid w:val="00935713"/>
    <w:rsid w:val="0095603D"/>
    <w:rsid w:val="009700C8"/>
    <w:rsid w:val="00971A7D"/>
    <w:rsid w:val="00976FAA"/>
    <w:rsid w:val="009806B4"/>
    <w:rsid w:val="0098266B"/>
    <w:rsid w:val="00986343"/>
    <w:rsid w:val="0099127A"/>
    <w:rsid w:val="00991830"/>
    <w:rsid w:val="009A3AD5"/>
    <w:rsid w:val="009A3C59"/>
    <w:rsid w:val="009A464D"/>
    <w:rsid w:val="009B1A1B"/>
    <w:rsid w:val="009B639E"/>
    <w:rsid w:val="009B77F0"/>
    <w:rsid w:val="009C2B95"/>
    <w:rsid w:val="009C6388"/>
    <w:rsid w:val="009D6F0D"/>
    <w:rsid w:val="009E13D5"/>
    <w:rsid w:val="009E6312"/>
    <w:rsid w:val="009F30BE"/>
    <w:rsid w:val="009F742B"/>
    <w:rsid w:val="00A14B91"/>
    <w:rsid w:val="00A304E9"/>
    <w:rsid w:val="00A30A37"/>
    <w:rsid w:val="00A41CCA"/>
    <w:rsid w:val="00A43852"/>
    <w:rsid w:val="00A64CA1"/>
    <w:rsid w:val="00A70262"/>
    <w:rsid w:val="00A7044D"/>
    <w:rsid w:val="00A7480D"/>
    <w:rsid w:val="00A753FF"/>
    <w:rsid w:val="00A766C9"/>
    <w:rsid w:val="00A81C38"/>
    <w:rsid w:val="00A81CB5"/>
    <w:rsid w:val="00A85EFA"/>
    <w:rsid w:val="00A908E0"/>
    <w:rsid w:val="00A93BF0"/>
    <w:rsid w:val="00AB2523"/>
    <w:rsid w:val="00AB297A"/>
    <w:rsid w:val="00AB7539"/>
    <w:rsid w:val="00AC46DD"/>
    <w:rsid w:val="00AD1DA6"/>
    <w:rsid w:val="00AE333E"/>
    <w:rsid w:val="00AE43C9"/>
    <w:rsid w:val="00AF40BC"/>
    <w:rsid w:val="00AF7B04"/>
    <w:rsid w:val="00AF7CAC"/>
    <w:rsid w:val="00B00E4A"/>
    <w:rsid w:val="00B042E7"/>
    <w:rsid w:val="00B138F3"/>
    <w:rsid w:val="00B1569F"/>
    <w:rsid w:val="00B475DB"/>
    <w:rsid w:val="00B55912"/>
    <w:rsid w:val="00B57C99"/>
    <w:rsid w:val="00B64F9D"/>
    <w:rsid w:val="00B678A2"/>
    <w:rsid w:val="00B71813"/>
    <w:rsid w:val="00B76BC2"/>
    <w:rsid w:val="00B8114D"/>
    <w:rsid w:val="00B8409D"/>
    <w:rsid w:val="00B93CC1"/>
    <w:rsid w:val="00B942BC"/>
    <w:rsid w:val="00BA712D"/>
    <w:rsid w:val="00BC2C6D"/>
    <w:rsid w:val="00BD7559"/>
    <w:rsid w:val="00BE150A"/>
    <w:rsid w:val="00BE2674"/>
    <w:rsid w:val="00C008CA"/>
    <w:rsid w:val="00C22335"/>
    <w:rsid w:val="00C32D96"/>
    <w:rsid w:val="00C36483"/>
    <w:rsid w:val="00C36DD9"/>
    <w:rsid w:val="00C55C4C"/>
    <w:rsid w:val="00C56ED5"/>
    <w:rsid w:val="00C655DB"/>
    <w:rsid w:val="00C7015D"/>
    <w:rsid w:val="00C726C0"/>
    <w:rsid w:val="00C846ED"/>
    <w:rsid w:val="00C84F3C"/>
    <w:rsid w:val="00C86C4E"/>
    <w:rsid w:val="00C87D17"/>
    <w:rsid w:val="00C87D18"/>
    <w:rsid w:val="00C91F5C"/>
    <w:rsid w:val="00C9577B"/>
    <w:rsid w:val="00CB3654"/>
    <w:rsid w:val="00CD2866"/>
    <w:rsid w:val="00CD2C91"/>
    <w:rsid w:val="00CD3B3D"/>
    <w:rsid w:val="00CD55FF"/>
    <w:rsid w:val="00CE0DA3"/>
    <w:rsid w:val="00CE7A8A"/>
    <w:rsid w:val="00CE7AEC"/>
    <w:rsid w:val="00CF57C6"/>
    <w:rsid w:val="00D00DF7"/>
    <w:rsid w:val="00D078A0"/>
    <w:rsid w:val="00D10792"/>
    <w:rsid w:val="00D148BA"/>
    <w:rsid w:val="00D15AA0"/>
    <w:rsid w:val="00D302D5"/>
    <w:rsid w:val="00D33E50"/>
    <w:rsid w:val="00D35C32"/>
    <w:rsid w:val="00D43014"/>
    <w:rsid w:val="00D50C55"/>
    <w:rsid w:val="00D568CF"/>
    <w:rsid w:val="00D86F1E"/>
    <w:rsid w:val="00D91E1F"/>
    <w:rsid w:val="00D94C48"/>
    <w:rsid w:val="00DA7087"/>
    <w:rsid w:val="00DC2A6A"/>
    <w:rsid w:val="00DC2DB5"/>
    <w:rsid w:val="00DC3012"/>
    <w:rsid w:val="00DE6BF7"/>
    <w:rsid w:val="00DE7019"/>
    <w:rsid w:val="00DF31EF"/>
    <w:rsid w:val="00E0134F"/>
    <w:rsid w:val="00E0708A"/>
    <w:rsid w:val="00E1221F"/>
    <w:rsid w:val="00E24B6C"/>
    <w:rsid w:val="00E2572D"/>
    <w:rsid w:val="00E33504"/>
    <w:rsid w:val="00E339BC"/>
    <w:rsid w:val="00E457D3"/>
    <w:rsid w:val="00E62494"/>
    <w:rsid w:val="00E65C73"/>
    <w:rsid w:val="00E67A33"/>
    <w:rsid w:val="00E8363D"/>
    <w:rsid w:val="00EA01D7"/>
    <w:rsid w:val="00EA6894"/>
    <w:rsid w:val="00EC0742"/>
    <w:rsid w:val="00EC0A01"/>
    <w:rsid w:val="00EC1E1F"/>
    <w:rsid w:val="00EE00FD"/>
    <w:rsid w:val="00EE2E48"/>
    <w:rsid w:val="00F0439F"/>
    <w:rsid w:val="00F127C7"/>
    <w:rsid w:val="00F20C3E"/>
    <w:rsid w:val="00F24C2A"/>
    <w:rsid w:val="00F42634"/>
    <w:rsid w:val="00F44DEB"/>
    <w:rsid w:val="00F451EC"/>
    <w:rsid w:val="00F50465"/>
    <w:rsid w:val="00F55BC7"/>
    <w:rsid w:val="00F61994"/>
    <w:rsid w:val="00F62C4F"/>
    <w:rsid w:val="00F86CA8"/>
    <w:rsid w:val="00F95BFC"/>
    <w:rsid w:val="00FA0733"/>
    <w:rsid w:val="00FA1760"/>
    <w:rsid w:val="00FB0393"/>
    <w:rsid w:val="00FB154C"/>
    <w:rsid w:val="00FB4127"/>
    <w:rsid w:val="00FC50D1"/>
    <w:rsid w:val="00FD1872"/>
    <w:rsid w:val="00FD2107"/>
    <w:rsid w:val="00FE419F"/>
    <w:rsid w:val="00FF3B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181B6"/>
  <w15:docId w15:val="{D3461C9D-1647-438B-9B6B-E5EE1798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38"/>
    <w:rPr>
      <w:rFonts w:ascii="Calibri" w:eastAsia="Calibri" w:hAnsi="Calibri" w:cs="Times New Roman"/>
    </w:rPr>
  </w:style>
  <w:style w:type="paragraph" w:styleId="Ttulo1">
    <w:name w:val="heading 1"/>
    <w:basedOn w:val="Normal"/>
    <w:next w:val="Normal"/>
    <w:link w:val="Ttulo1Carter"/>
    <w:uiPriority w:val="9"/>
    <w:qFormat/>
    <w:rsid w:val="00846D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ter"/>
    <w:uiPriority w:val="9"/>
    <w:qFormat/>
    <w:rsid w:val="005F1AEA"/>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3">
    <w:name w:val="heading 3"/>
    <w:basedOn w:val="Normal"/>
    <w:next w:val="Normal"/>
    <w:link w:val="Ttulo3Carter"/>
    <w:uiPriority w:val="9"/>
    <w:qFormat/>
    <w:rsid w:val="00522346"/>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arter"/>
    <w:uiPriority w:val="9"/>
    <w:semiHidden/>
    <w:unhideWhenUsed/>
    <w:qFormat/>
    <w:rsid w:val="00671FC6"/>
    <w:pPr>
      <w:keepNext/>
      <w:keepLines/>
      <w:spacing w:before="80" w:after="40" w:line="259" w:lineRule="auto"/>
      <w:outlineLvl w:val="3"/>
    </w:pPr>
    <w:rPr>
      <w:rFonts w:ascii="Arial" w:eastAsia="Times New Roman" w:hAnsi="Arial"/>
      <w:i/>
      <w:iCs/>
      <w:color w:val="2F5496"/>
      <w:sz w:val="24"/>
      <w:szCs w:val="24"/>
      <w:lang w:eastAsia="pt-BR"/>
    </w:rPr>
  </w:style>
  <w:style w:type="paragraph" w:styleId="Ttulo5">
    <w:name w:val="heading 5"/>
    <w:basedOn w:val="Normal"/>
    <w:next w:val="Normal"/>
    <w:link w:val="Ttulo5Carter"/>
    <w:uiPriority w:val="9"/>
    <w:semiHidden/>
    <w:unhideWhenUsed/>
    <w:qFormat/>
    <w:rsid w:val="005F1AEA"/>
    <w:pPr>
      <w:keepNext/>
      <w:keepLines/>
      <w:spacing w:before="40" w:after="0" w:line="240" w:lineRule="auto"/>
      <w:outlineLvl w:val="4"/>
    </w:pPr>
    <w:rPr>
      <w:rFonts w:asciiTheme="majorHAnsi" w:eastAsiaTheme="majorEastAsia" w:hAnsiTheme="majorHAnsi" w:cstheme="majorBidi"/>
      <w:color w:val="365F91" w:themeColor="accent1" w:themeShade="BF"/>
      <w:sz w:val="24"/>
      <w:szCs w:val="20"/>
      <w:lang w:eastAsia="pt-BR"/>
    </w:rPr>
  </w:style>
  <w:style w:type="paragraph" w:styleId="Ttulo6">
    <w:name w:val="heading 6"/>
    <w:basedOn w:val="Normal"/>
    <w:next w:val="Normal"/>
    <w:link w:val="Ttulo6Carter"/>
    <w:uiPriority w:val="9"/>
    <w:semiHidden/>
    <w:unhideWhenUsed/>
    <w:qFormat/>
    <w:rsid w:val="00671FC6"/>
    <w:pPr>
      <w:keepNext/>
      <w:keepLines/>
      <w:spacing w:before="40" w:after="0" w:line="259" w:lineRule="auto"/>
      <w:outlineLvl w:val="5"/>
    </w:pPr>
    <w:rPr>
      <w:rFonts w:ascii="Arial" w:eastAsia="Times New Roman" w:hAnsi="Arial"/>
      <w:i/>
      <w:iCs/>
      <w:color w:val="595959"/>
      <w:sz w:val="24"/>
      <w:szCs w:val="24"/>
      <w:lang w:eastAsia="pt-BR"/>
    </w:rPr>
  </w:style>
  <w:style w:type="paragraph" w:styleId="Ttulo7">
    <w:name w:val="heading 7"/>
    <w:basedOn w:val="Normal"/>
    <w:next w:val="Normal"/>
    <w:link w:val="Ttulo7Carter"/>
    <w:uiPriority w:val="9"/>
    <w:semiHidden/>
    <w:unhideWhenUsed/>
    <w:qFormat/>
    <w:rsid w:val="00671FC6"/>
    <w:pPr>
      <w:keepNext/>
      <w:keepLines/>
      <w:spacing w:before="40" w:after="0" w:line="259" w:lineRule="auto"/>
      <w:outlineLvl w:val="6"/>
    </w:pPr>
    <w:rPr>
      <w:rFonts w:ascii="Arial" w:eastAsia="Times New Roman" w:hAnsi="Arial"/>
      <w:color w:val="595959"/>
      <w:sz w:val="24"/>
      <w:szCs w:val="24"/>
      <w:lang w:eastAsia="pt-BR"/>
    </w:rPr>
  </w:style>
  <w:style w:type="paragraph" w:styleId="Ttulo8">
    <w:name w:val="heading 8"/>
    <w:basedOn w:val="Normal"/>
    <w:next w:val="Normal"/>
    <w:link w:val="Ttulo8Carter"/>
    <w:uiPriority w:val="9"/>
    <w:semiHidden/>
    <w:unhideWhenUsed/>
    <w:qFormat/>
    <w:rsid w:val="00671FC6"/>
    <w:pPr>
      <w:keepNext/>
      <w:keepLines/>
      <w:spacing w:after="0" w:line="259" w:lineRule="auto"/>
      <w:outlineLvl w:val="7"/>
    </w:pPr>
    <w:rPr>
      <w:rFonts w:ascii="Arial" w:eastAsia="Times New Roman" w:hAnsi="Arial"/>
      <w:i/>
      <w:iCs/>
      <w:color w:val="272727"/>
      <w:sz w:val="24"/>
      <w:szCs w:val="24"/>
      <w:lang w:eastAsia="pt-BR"/>
    </w:rPr>
  </w:style>
  <w:style w:type="paragraph" w:styleId="Ttulo9">
    <w:name w:val="heading 9"/>
    <w:basedOn w:val="Normal"/>
    <w:next w:val="Normal"/>
    <w:link w:val="Ttulo9Carter"/>
    <w:uiPriority w:val="9"/>
    <w:unhideWhenUsed/>
    <w:qFormat/>
    <w:rsid w:val="005F1AEA"/>
    <w:pPr>
      <w:spacing w:before="240" w:after="60" w:line="240" w:lineRule="auto"/>
      <w:outlineLvl w:val="8"/>
    </w:pPr>
    <w:rPr>
      <w:rFonts w:ascii="Cambria" w:eastAsia="Times New Roman" w:hAnsi="Cambria"/>
      <w:lang w:eastAsia="pt-BR"/>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1">
    <w:name w:val="toc 1"/>
    <w:basedOn w:val="Normal"/>
    <w:next w:val="Normal"/>
    <w:autoRedefine/>
    <w:uiPriority w:val="39"/>
    <w:unhideWhenUsed/>
    <w:qFormat/>
    <w:rsid w:val="00AC46DD"/>
    <w:pPr>
      <w:tabs>
        <w:tab w:val="right" w:leader="dot" w:pos="9072"/>
      </w:tabs>
      <w:spacing w:after="0" w:line="480" w:lineRule="auto"/>
      <w:jc w:val="both"/>
      <w:outlineLvl w:val="8"/>
    </w:pPr>
    <w:rPr>
      <w:rFonts w:ascii="Arial" w:eastAsia="Times New Roman" w:hAnsi="Arial" w:cs="Arial"/>
      <w:sz w:val="24"/>
      <w:szCs w:val="24"/>
      <w:lang w:eastAsia="pt-BR"/>
    </w:rPr>
  </w:style>
  <w:style w:type="paragraph" w:styleId="ndice2">
    <w:name w:val="toc 2"/>
    <w:basedOn w:val="Normal"/>
    <w:next w:val="Normal"/>
    <w:autoRedefine/>
    <w:uiPriority w:val="39"/>
    <w:unhideWhenUsed/>
    <w:qFormat/>
    <w:rsid w:val="00846D38"/>
    <w:pPr>
      <w:spacing w:after="100"/>
    </w:pPr>
    <w:rPr>
      <w:rFonts w:ascii="Arial" w:eastAsia="Times New Roman" w:hAnsi="Arial" w:cs="Arial"/>
      <w:sz w:val="24"/>
      <w:szCs w:val="24"/>
      <w:lang w:eastAsia="pt-BR"/>
    </w:rPr>
  </w:style>
  <w:style w:type="paragraph" w:styleId="ndice3">
    <w:name w:val="toc 3"/>
    <w:basedOn w:val="Normal"/>
    <w:next w:val="Normal"/>
    <w:autoRedefine/>
    <w:uiPriority w:val="39"/>
    <w:unhideWhenUsed/>
    <w:qFormat/>
    <w:rsid w:val="00846D38"/>
    <w:pPr>
      <w:spacing w:after="100"/>
    </w:pPr>
    <w:rPr>
      <w:rFonts w:ascii="Arial" w:eastAsia="Times New Roman" w:hAnsi="Arial" w:cs="Arial"/>
      <w:sz w:val="24"/>
      <w:lang w:eastAsia="pt-BR"/>
    </w:rPr>
  </w:style>
  <w:style w:type="character" w:customStyle="1" w:styleId="Ttulo1Carter">
    <w:name w:val="Título 1 Caráter"/>
    <w:basedOn w:val="Tipodeletrapredefinidodopargrafo"/>
    <w:link w:val="Ttulo1"/>
    <w:rsid w:val="00846D38"/>
    <w:rPr>
      <w:rFonts w:asciiTheme="majorHAnsi" w:eastAsiaTheme="majorEastAsia" w:hAnsiTheme="majorHAnsi" w:cstheme="majorBidi"/>
      <w:b/>
      <w:bCs/>
      <w:color w:val="365F91" w:themeColor="accent1" w:themeShade="BF"/>
      <w:sz w:val="28"/>
      <w:szCs w:val="28"/>
    </w:rPr>
  </w:style>
  <w:style w:type="paragraph" w:styleId="Cabealhodondice">
    <w:name w:val="TOC Heading"/>
    <w:basedOn w:val="Ttulo1"/>
    <w:next w:val="Normal"/>
    <w:uiPriority w:val="39"/>
    <w:unhideWhenUsed/>
    <w:qFormat/>
    <w:rsid w:val="00846D38"/>
    <w:pPr>
      <w:outlineLvl w:val="9"/>
    </w:pPr>
    <w:rPr>
      <w:rFonts w:ascii="Cambria" w:eastAsia="Times New Roman" w:hAnsi="Cambria" w:cs="Times New Roman"/>
      <w:color w:val="365F91"/>
      <w:lang w:eastAsia="pt-BR"/>
    </w:rPr>
  </w:style>
  <w:style w:type="paragraph" w:customStyle="1" w:styleId="Default">
    <w:name w:val="Default"/>
    <w:rsid w:val="00846D38"/>
    <w:pPr>
      <w:autoSpaceDE w:val="0"/>
      <w:autoSpaceDN w:val="0"/>
      <w:adjustRightInd w:val="0"/>
      <w:spacing w:after="0" w:line="240" w:lineRule="auto"/>
    </w:pPr>
    <w:rPr>
      <w:rFonts w:ascii="Courier New" w:eastAsia="Calibri" w:hAnsi="Courier New" w:cs="Courier New"/>
      <w:color w:val="000000"/>
      <w:sz w:val="24"/>
      <w:szCs w:val="24"/>
    </w:rPr>
  </w:style>
  <w:style w:type="character" w:customStyle="1" w:styleId="hps">
    <w:name w:val="hps"/>
    <w:rsid w:val="00846D38"/>
  </w:style>
  <w:style w:type="paragraph" w:styleId="Cabealho">
    <w:name w:val="header"/>
    <w:basedOn w:val="Normal"/>
    <w:link w:val="CabealhoCarter"/>
    <w:uiPriority w:val="99"/>
    <w:unhideWhenUsed/>
    <w:rsid w:val="00846D38"/>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46D38"/>
    <w:rPr>
      <w:rFonts w:ascii="Calibri" w:eastAsia="Calibri" w:hAnsi="Calibri" w:cs="Times New Roman"/>
    </w:rPr>
  </w:style>
  <w:style w:type="paragraph" w:styleId="Rodap">
    <w:name w:val="footer"/>
    <w:basedOn w:val="Normal"/>
    <w:link w:val="RodapCarter"/>
    <w:uiPriority w:val="99"/>
    <w:unhideWhenUsed/>
    <w:rsid w:val="00846D38"/>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46D38"/>
    <w:rPr>
      <w:rFonts w:ascii="Calibri" w:eastAsia="Calibri" w:hAnsi="Calibri" w:cs="Times New Roman"/>
    </w:rPr>
  </w:style>
  <w:style w:type="paragraph" w:styleId="Textodenotaderodap">
    <w:name w:val="footnote text"/>
    <w:basedOn w:val="Normal"/>
    <w:link w:val="TextodenotaderodapCarter"/>
    <w:uiPriority w:val="99"/>
    <w:unhideWhenUsed/>
    <w:qFormat/>
    <w:rsid w:val="00846D38"/>
    <w:pPr>
      <w:spacing w:after="0" w:line="240" w:lineRule="auto"/>
    </w:pPr>
    <w:rPr>
      <w:rFonts w:asciiTheme="minorHAnsi" w:eastAsiaTheme="minorHAnsi" w:hAnsiTheme="minorHAnsi" w:cstheme="minorBidi"/>
      <w:sz w:val="20"/>
      <w:szCs w:val="20"/>
    </w:rPr>
  </w:style>
  <w:style w:type="character" w:customStyle="1" w:styleId="TextodenotaderodapCarter">
    <w:name w:val="Texto de nota de rodapé Caráter"/>
    <w:basedOn w:val="Tipodeletrapredefinidodopargrafo"/>
    <w:link w:val="Textodenotaderodap"/>
    <w:uiPriority w:val="99"/>
    <w:qFormat/>
    <w:rsid w:val="00846D38"/>
    <w:rPr>
      <w:sz w:val="20"/>
      <w:szCs w:val="20"/>
    </w:rPr>
  </w:style>
  <w:style w:type="character" w:styleId="Refdenotaderodap">
    <w:name w:val="footnote reference"/>
    <w:aliases w:val="numéro d'appel de note"/>
    <w:basedOn w:val="Tipodeletrapredefinidodopargrafo"/>
    <w:uiPriority w:val="99"/>
    <w:unhideWhenUsed/>
    <w:rsid w:val="00846D38"/>
    <w:rPr>
      <w:vertAlign w:val="superscript"/>
    </w:rPr>
  </w:style>
  <w:style w:type="character" w:styleId="Hiperligao">
    <w:name w:val="Hyperlink"/>
    <w:uiPriority w:val="99"/>
    <w:unhideWhenUsed/>
    <w:rsid w:val="004B0DF7"/>
    <w:rPr>
      <w:color w:val="0000FF"/>
      <w:u w:val="single"/>
    </w:rPr>
  </w:style>
  <w:style w:type="paragraph" w:styleId="Textodebalo">
    <w:name w:val="Balloon Text"/>
    <w:basedOn w:val="Normal"/>
    <w:link w:val="TextodebaloCarter"/>
    <w:uiPriority w:val="99"/>
    <w:semiHidden/>
    <w:unhideWhenUsed/>
    <w:rsid w:val="00534B48"/>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34B48"/>
    <w:rPr>
      <w:rFonts w:ascii="Tahoma" w:eastAsia="Calibri" w:hAnsi="Tahoma" w:cs="Tahoma"/>
      <w:sz w:val="16"/>
      <w:szCs w:val="16"/>
    </w:rPr>
  </w:style>
  <w:style w:type="paragraph" w:styleId="PargrafodaLista">
    <w:name w:val="List Paragraph"/>
    <w:basedOn w:val="Normal"/>
    <w:uiPriority w:val="34"/>
    <w:qFormat/>
    <w:rsid w:val="00EA01D7"/>
    <w:pPr>
      <w:spacing w:after="160" w:line="256" w:lineRule="auto"/>
      <w:ind w:left="720"/>
      <w:contextualSpacing/>
    </w:pPr>
    <w:rPr>
      <w:rFonts w:asciiTheme="minorHAnsi" w:eastAsiaTheme="minorHAnsi" w:hAnsiTheme="minorHAnsi" w:cstheme="minorBidi"/>
    </w:rPr>
  </w:style>
  <w:style w:type="character" w:customStyle="1" w:styleId="Ttulo3Carter">
    <w:name w:val="Título 3 Caráter"/>
    <w:basedOn w:val="Tipodeletrapredefinidodopargrafo"/>
    <w:link w:val="Ttulo3"/>
    <w:uiPriority w:val="9"/>
    <w:rsid w:val="00522346"/>
    <w:rPr>
      <w:rFonts w:ascii="Arial" w:eastAsia="Times New Roman" w:hAnsi="Arial" w:cs="Arial"/>
      <w:b/>
      <w:bCs/>
      <w:sz w:val="26"/>
      <w:szCs w:val="26"/>
      <w:lang w:eastAsia="pt-BR"/>
    </w:rPr>
  </w:style>
  <w:style w:type="paragraph" w:styleId="Corpodetexto">
    <w:name w:val="Body Text"/>
    <w:basedOn w:val="Normal"/>
    <w:link w:val="CorpodetextoCarter"/>
    <w:rsid w:val="00522346"/>
    <w:pPr>
      <w:spacing w:after="0" w:line="240" w:lineRule="auto"/>
    </w:pPr>
    <w:rPr>
      <w:rFonts w:ascii="Times New Roman" w:eastAsia="Times New Roman" w:hAnsi="Times New Roman"/>
      <w:sz w:val="24"/>
      <w:szCs w:val="20"/>
      <w:lang w:eastAsia="pt-BR"/>
    </w:rPr>
  </w:style>
  <w:style w:type="character" w:customStyle="1" w:styleId="CorpodetextoCarter">
    <w:name w:val="Corpo de texto Caráter"/>
    <w:basedOn w:val="Tipodeletrapredefinidodopargrafo"/>
    <w:link w:val="Corpodetexto"/>
    <w:rsid w:val="00522346"/>
    <w:rPr>
      <w:rFonts w:ascii="Times New Roman" w:eastAsia="Times New Roman" w:hAnsi="Times New Roman" w:cs="Times New Roman"/>
      <w:sz w:val="24"/>
      <w:szCs w:val="20"/>
      <w:lang w:eastAsia="pt-BR"/>
    </w:rPr>
  </w:style>
  <w:style w:type="paragraph" w:customStyle="1" w:styleId="CITACAO">
    <w:name w:val="CITACAO"/>
    <w:basedOn w:val="Normal"/>
    <w:link w:val="CITACAOChar"/>
    <w:qFormat/>
    <w:rsid w:val="00522346"/>
    <w:pPr>
      <w:widowControl w:val="0"/>
      <w:spacing w:after="0" w:line="240" w:lineRule="auto"/>
      <w:ind w:left="2268"/>
      <w:jc w:val="both"/>
    </w:pPr>
    <w:rPr>
      <w:rFonts w:ascii="Times New Roman" w:eastAsia="Times New Roman" w:hAnsi="Times New Roman"/>
      <w:lang w:eastAsia="pt-BR"/>
    </w:rPr>
  </w:style>
  <w:style w:type="character" w:customStyle="1" w:styleId="CITACAOChar">
    <w:name w:val="CITACAO Char"/>
    <w:link w:val="CITACAO"/>
    <w:rsid w:val="00522346"/>
    <w:rPr>
      <w:rFonts w:ascii="Times New Roman" w:eastAsia="Times New Roman" w:hAnsi="Times New Roman" w:cs="Times New Roman"/>
      <w:lang w:eastAsia="pt-BR"/>
    </w:rPr>
  </w:style>
  <w:style w:type="paragraph" w:customStyle="1" w:styleId="REFERENCIAS">
    <w:name w:val="REFERENCIAS"/>
    <w:basedOn w:val="Normal"/>
    <w:link w:val="REFERENCIASChar"/>
    <w:qFormat/>
    <w:rsid w:val="00522346"/>
    <w:pPr>
      <w:widowControl w:val="0"/>
      <w:spacing w:after="240" w:line="240" w:lineRule="auto"/>
      <w:jc w:val="both"/>
    </w:pPr>
    <w:rPr>
      <w:rFonts w:ascii="Times New Roman" w:hAnsi="Times New Roman"/>
      <w:sz w:val="24"/>
      <w:szCs w:val="24"/>
    </w:rPr>
  </w:style>
  <w:style w:type="character" w:customStyle="1" w:styleId="REFERENCIASChar">
    <w:name w:val="REFERENCIAS Char"/>
    <w:link w:val="REFERENCIAS"/>
    <w:rsid w:val="00522346"/>
    <w:rPr>
      <w:rFonts w:ascii="Times New Roman" w:eastAsia="Calibri" w:hAnsi="Times New Roman" w:cs="Times New Roman"/>
      <w:sz w:val="24"/>
      <w:szCs w:val="24"/>
    </w:rPr>
  </w:style>
  <w:style w:type="paragraph" w:customStyle="1" w:styleId="CORPO">
    <w:name w:val="CORPO"/>
    <w:basedOn w:val="Normal"/>
    <w:link w:val="CORPOChar"/>
    <w:qFormat/>
    <w:rsid w:val="00522346"/>
    <w:pPr>
      <w:widowControl w:val="0"/>
      <w:spacing w:after="0" w:line="360" w:lineRule="auto"/>
      <w:ind w:firstLine="709"/>
      <w:jc w:val="both"/>
    </w:pPr>
    <w:rPr>
      <w:rFonts w:ascii="Times New Roman" w:hAnsi="Times New Roman"/>
      <w:sz w:val="24"/>
      <w:szCs w:val="24"/>
    </w:rPr>
  </w:style>
  <w:style w:type="character" w:customStyle="1" w:styleId="CORPOChar">
    <w:name w:val="CORPO Char"/>
    <w:link w:val="CORPO"/>
    <w:rsid w:val="00522346"/>
    <w:rPr>
      <w:rFonts w:ascii="Times New Roman" w:eastAsia="Calibri" w:hAnsi="Times New Roman" w:cs="Times New Roman"/>
      <w:sz w:val="24"/>
      <w:szCs w:val="24"/>
    </w:rPr>
  </w:style>
  <w:style w:type="character" w:customStyle="1" w:styleId="apple-converted-space">
    <w:name w:val="apple-converted-space"/>
    <w:basedOn w:val="Tipodeletrapredefinidodopargrafo"/>
    <w:rsid w:val="00784E47"/>
  </w:style>
  <w:style w:type="character" w:styleId="Refdecomentrio">
    <w:name w:val="annotation reference"/>
    <w:basedOn w:val="Tipodeletrapredefinidodopargrafo"/>
    <w:uiPriority w:val="99"/>
    <w:semiHidden/>
    <w:unhideWhenUsed/>
    <w:rsid w:val="00784E47"/>
    <w:rPr>
      <w:sz w:val="16"/>
      <w:szCs w:val="16"/>
    </w:rPr>
  </w:style>
  <w:style w:type="paragraph" w:styleId="Textodecomentrio">
    <w:name w:val="annotation text"/>
    <w:basedOn w:val="Normal"/>
    <w:link w:val="TextodecomentrioCarter"/>
    <w:uiPriority w:val="99"/>
    <w:unhideWhenUsed/>
    <w:rsid w:val="00784E47"/>
    <w:pPr>
      <w:spacing w:line="240" w:lineRule="auto"/>
    </w:pPr>
    <w:rPr>
      <w:rFonts w:asciiTheme="minorHAnsi" w:eastAsiaTheme="minorHAnsi" w:hAnsiTheme="minorHAnsi" w:cstheme="minorBidi"/>
      <w:sz w:val="20"/>
      <w:szCs w:val="20"/>
    </w:rPr>
  </w:style>
  <w:style w:type="character" w:customStyle="1" w:styleId="TextodecomentrioCarter">
    <w:name w:val="Texto de comentário Caráter"/>
    <w:basedOn w:val="Tipodeletrapredefinidodopargrafo"/>
    <w:link w:val="Textodecomentrio"/>
    <w:uiPriority w:val="99"/>
    <w:rsid w:val="00784E47"/>
    <w:rPr>
      <w:sz w:val="20"/>
      <w:szCs w:val="20"/>
    </w:rPr>
  </w:style>
  <w:style w:type="paragraph" w:styleId="Assuntodecomentrio">
    <w:name w:val="annotation subject"/>
    <w:basedOn w:val="Textodecomentrio"/>
    <w:next w:val="Textodecomentrio"/>
    <w:link w:val="AssuntodecomentrioCarter"/>
    <w:uiPriority w:val="99"/>
    <w:semiHidden/>
    <w:unhideWhenUsed/>
    <w:rsid w:val="00784E47"/>
    <w:rPr>
      <w:b/>
      <w:bCs/>
    </w:rPr>
  </w:style>
  <w:style w:type="character" w:customStyle="1" w:styleId="AssuntodecomentrioCarter">
    <w:name w:val="Assunto de comentário Caráter"/>
    <w:basedOn w:val="TextodecomentrioCarter"/>
    <w:link w:val="Assuntodecomentrio"/>
    <w:uiPriority w:val="99"/>
    <w:semiHidden/>
    <w:rsid w:val="00784E47"/>
    <w:rPr>
      <w:b/>
      <w:bCs/>
      <w:sz w:val="20"/>
      <w:szCs w:val="20"/>
    </w:rPr>
  </w:style>
  <w:style w:type="paragraph" w:customStyle="1" w:styleId="Estilo">
    <w:name w:val="Estilo"/>
    <w:rsid w:val="00784E47"/>
    <w:pPr>
      <w:widowControl w:val="0"/>
      <w:autoSpaceDE w:val="0"/>
      <w:autoSpaceDN w:val="0"/>
      <w:adjustRightInd w:val="0"/>
      <w:spacing w:after="0" w:line="360" w:lineRule="auto"/>
      <w:ind w:left="714" w:hanging="357"/>
      <w:jc w:val="both"/>
    </w:pPr>
    <w:rPr>
      <w:rFonts w:ascii="Arial" w:eastAsia="Times New Roman" w:hAnsi="Arial" w:cs="Arial"/>
      <w:sz w:val="24"/>
      <w:szCs w:val="24"/>
      <w:lang w:eastAsia="pt-BR"/>
    </w:rPr>
  </w:style>
  <w:style w:type="table" w:styleId="TabelacomGrelha">
    <w:name w:val="Table Grid"/>
    <w:basedOn w:val="Tabelanormal"/>
    <w:uiPriority w:val="59"/>
    <w:rsid w:val="0078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Tipodeletrapredefinidodopargrafo"/>
    <w:uiPriority w:val="20"/>
    <w:qFormat/>
    <w:rsid w:val="00784E47"/>
    <w:rPr>
      <w:i/>
      <w:iCs/>
    </w:rPr>
  </w:style>
  <w:style w:type="paragraph" w:styleId="Avanodecorpodetexto">
    <w:name w:val="Body Text Indent"/>
    <w:basedOn w:val="Normal"/>
    <w:link w:val="AvanodecorpodetextoCarter"/>
    <w:rsid w:val="00784E47"/>
    <w:pPr>
      <w:spacing w:after="0" w:line="360" w:lineRule="auto"/>
      <w:ind w:firstLine="360"/>
      <w:jc w:val="both"/>
    </w:pPr>
    <w:rPr>
      <w:rFonts w:ascii="Times New Roman" w:eastAsia="Times New Roman" w:hAnsi="Times New Roman"/>
      <w:sz w:val="24"/>
      <w:szCs w:val="20"/>
      <w:lang w:eastAsia="pt-BR"/>
    </w:rPr>
  </w:style>
  <w:style w:type="character" w:customStyle="1" w:styleId="AvanodecorpodetextoCarter">
    <w:name w:val="Avanço de corpo de texto Caráter"/>
    <w:basedOn w:val="Tipodeletrapredefinidodopargrafo"/>
    <w:link w:val="Avanodecorpodetexto"/>
    <w:rsid w:val="00784E47"/>
    <w:rPr>
      <w:rFonts w:ascii="Times New Roman" w:eastAsia="Times New Roman" w:hAnsi="Times New Roman" w:cs="Times New Roman"/>
      <w:sz w:val="24"/>
      <w:szCs w:val="20"/>
      <w:lang w:eastAsia="pt-BR"/>
    </w:rPr>
  </w:style>
  <w:style w:type="paragraph" w:customStyle="1" w:styleId="ESPAO">
    <w:name w:val="ESPAÇO"/>
    <w:basedOn w:val="Normal"/>
    <w:link w:val="ESPAOChar"/>
    <w:qFormat/>
    <w:rsid w:val="006706EB"/>
    <w:pPr>
      <w:widowControl w:val="0"/>
      <w:spacing w:after="0" w:line="360" w:lineRule="auto"/>
      <w:jc w:val="both"/>
    </w:pPr>
    <w:rPr>
      <w:rFonts w:ascii="Times New Roman" w:hAnsi="Times New Roman"/>
      <w:sz w:val="24"/>
      <w:szCs w:val="24"/>
    </w:rPr>
  </w:style>
  <w:style w:type="character" w:customStyle="1" w:styleId="ESPAOChar">
    <w:name w:val="ESPAÇO Char"/>
    <w:basedOn w:val="Tipodeletrapredefinidodopargrafo"/>
    <w:link w:val="ESPAO"/>
    <w:rsid w:val="006706EB"/>
    <w:rPr>
      <w:rFonts w:ascii="Times New Roman" w:eastAsia="Calibri" w:hAnsi="Times New Roman" w:cs="Times New Roman"/>
      <w:sz w:val="24"/>
      <w:szCs w:val="24"/>
    </w:rPr>
  </w:style>
  <w:style w:type="character" w:styleId="Forte">
    <w:name w:val="Strong"/>
    <w:basedOn w:val="Tipodeletrapredefinidodopargrafo"/>
    <w:uiPriority w:val="22"/>
    <w:qFormat/>
    <w:rsid w:val="006706EB"/>
    <w:rPr>
      <w:b/>
      <w:bCs/>
    </w:rPr>
  </w:style>
  <w:style w:type="paragraph" w:styleId="NormalWeb">
    <w:name w:val="Normal (Web)"/>
    <w:basedOn w:val="Normal"/>
    <w:uiPriority w:val="99"/>
    <w:qFormat/>
    <w:rsid w:val="006706EB"/>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t1">
    <w:name w:val="st1"/>
    <w:basedOn w:val="Tipodeletrapredefinidodopargrafo"/>
    <w:uiPriority w:val="99"/>
    <w:rsid w:val="006706EB"/>
  </w:style>
  <w:style w:type="character" w:customStyle="1" w:styleId="hpsatn">
    <w:name w:val="hps atn"/>
    <w:basedOn w:val="Tipodeletrapredefinidodopargrafo"/>
    <w:rsid w:val="006706EB"/>
  </w:style>
  <w:style w:type="character" w:customStyle="1" w:styleId="fn">
    <w:name w:val="fn"/>
    <w:basedOn w:val="Tipodeletrapredefinidodopargrafo"/>
    <w:rsid w:val="006706EB"/>
  </w:style>
  <w:style w:type="character" w:customStyle="1" w:styleId="views-label">
    <w:name w:val="views-label"/>
    <w:basedOn w:val="Tipodeletrapredefinidodopargrafo"/>
    <w:rsid w:val="006706EB"/>
  </w:style>
  <w:style w:type="character" w:customStyle="1" w:styleId="field-content">
    <w:name w:val="field-content"/>
    <w:basedOn w:val="Tipodeletrapredefinidodopargrafo"/>
    <w:rsid w:val="006706EB"/>
  </w:style>
  <w:style w:type="character" w:customStyle="1" w:styleId="gf">
    <w:name w:val="gf"/>
    <w:basedOn w:val="Tipodeletrapredefinidodopargrafo"/>
    <w:rsid w:val="006706EB"/>
  </w:style>
  <w:style w:type="character" w:customStyle="1" w:styleId="ncoradanotaderodap">
    <w:name w:val="Âncora da nota de rodapé"/>
    <w:rsid w:val="00F451EC"/>
    <w:rPr>
      <w:vertAlign w:val="superscript"/>
    </w:rPr>
  </w:style>
  <w:style w:type="paragraph" w:customStyle="1" w:styleId="Notaderodap">
    <w:name w:val="Nota de rodapé"/>
    <w:basedOn w:val="Normal"/>
    <w:rsid w:val="00F451EC"/>
    <w:pPr>
      <w:suppressAutoHyphens/>
    </w:pPr>
    <w:rPr>
      <w:rFonts w:cstheme="minorBidi"/>
      <w:color w:val="00000A"/>
    </w:rPr>
  </w:style>
  <w:style w:type="paragraph" w:styleId="Corpodetexto2">
    <w:name w:val="Body Text 2"/>
    <w:basedOn w:val="Normal"/>
    <w:link w:val="Corpodetexto2Carter"/>
    <w:uiPriority w:val="99"/>
    <w:semiHidden/>
    <w:unhideWhenUsed/>
    <w:rsid w:val="00F451EC"/>
    <w:pPr>
      <w:spacing w:after="120" w:line="480" w:lineRule="auto"/>
    </w:pPr>
  </w:style>
  <w:style w:type="character" w:customStyle="1" w:styleId="Corpodetexto2Carter">
    <w:name w:val="Corpo de texto 2 Caráter"/>
    <w:basedOn w:val="Tipodeletrapredefinidodopargrafo"/>
    <w:link w:val="Corpodetexto2"/>
    <w:uiPriority w:val="99"/>
    <w:semiHidden/>
    <w:rsid w:val="00F451EC"/>
    <w:rPr>
      <w:rFonts w:ascii="Calibri" w:eastAsia="Calibri" w:hAnsi="Calibri" w:cs="Times New Roman"/>
    </w:rPr>
  </w:style>
  <w:style w:type="paragraph" w:styleId="Corpodetexto3">
    <w:name w:val="Body Text 3"/>
    <w:basedOn w:val="Normal"/>
    <w:link w:val="Corpodetexto3Carter"/>
    <w:uiPriority w:val="99"/>
    <w:unhideWhenUsed/>
    <w:rsid w:val="00F451EC"/>
    <w:pPr>
      <w:spacing w:after="120" w:line="259" w:lineRule="auto"/>
    </w:pPr>
    <w:rPr>
      <w:sz w:val="16"/>
      <w:szCs w:val="16"/>
    </w:rPr>
  </w:style>
  <w:style w:type="character" w:customStyle="1" w:styleId="Corpodetexto3Carter">
    <w:name w:val="Corpo de texto 3 Caráter"/>
    <w:basedOn w:val="Tipodeletrapredefinidodopargrafo"/>
    <w:link w:val="Corpodetexto3"/>
    <w:uiPriority w:val="99"/>
    <w:rsid w:val="00F451EC"/>
    <w:rPr>
      <w:rFonts w:ascii="Calibri" w:eastAsia="Calibri" w:hAnsi="Calibri" w:cs="Times New Roman"/>
      <w:sz w:val="16"/>
      <w:szCs w:val="16"/>
    </w:rPr>
  </w:style>
  <w:style w:type="character" w:customStyle="1" w:styleId="unnamed21">
    <w:name w:val="unnamed21"/>
    <w:rsid w:val="00F451EC"/>
    <w:rPr>
      <w:rFonts w:ascii="Verdana" w:hAnsi="Verdana" w:hint="default"/>
      <w:b/>
      <w:bCs/>
      <w:color w:val="000000"/>
      <w:sz w:val="16"/>
      <w:szCs w:val="16"/>
    </w:rPr>
  </w:style>
  <w:style w:type="paragraph" w:customStyle="1" w:styleId="Resumo-Texto">
    <w:name w:val="Resumo - Texto"/>
    <w:basedOn w:val="Normal"/>
    <w:rsid w:val="00F451EC"/>
    <w:pPr>
      <w:widowControl w:val="0"/>
      <w:spacing w:after="480" w:line="240" w:lineRule="auto"/>
      <w:jc w:val="both"/>
    </w:pPr>
    <w:rPr>
      <w:rFonts w:ascii="Arial" w:eastAsia="Times New Roman" w:hAnsi="Arial"/>
      <w:noProof/>
      <w:sz w:val="24"/>
      <w:szCs w:val="20"/>
      <w:lang w:eastAsia="pt-BR"/>
    </w:rPr>
  </w:style>
  <w:style w:type="paragraph" w:styleId="HTMLpr-formatado">
    <w:name w:val="HTML Preformatted"/>
    <w:basedOn w:val="Normal"/>
    <w:link w:val="HTMLpr-formatadoCarter"/>
    <w:uiPriority w:val="99"/>
    <w:unhideWhenUsed/>
    <w:rsid w:val="00F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formatadoCarter">
    <w:name w:val="HTML pré-formatado Caráter"/>
    <w:basedOn w:val="Tipodeletrapredefinidodopargrafo"/>
    <w:link w:val="HTMLpr-formatado"/>
    <w:rsid w:val="00F451EC"/>
    <w:rPr>
      <w:rFonts w:ascii="Courier New" w:eastAsia="Times New Roman" w:hAnsi="Courier New" w:cs="Courier New"/>
      <w:sz w:val="20"/>
      <w:szCs w:val="20"/>
      <w:lang w:eastAsia="pt-BR"/>
    </w:rPr>
  </w:style>
  <w:style w:type="paragraph" w:styleId="Avanodecorpodetexto2">
    <w:name w:val="Body Text Indent 2"/>
    <w:basedOn w:val="Normal"/>
    <w:link w:val="Avanodecorpodetexto2Carter"/>
    <w:uiPriority w:val="99"/>
    <w:semiHidden/>
    <w:unhideWhenUsed/>
    <w:rsid w:val="00F451EC"/>
    <w:pPr>
      <w:spacing w:after="120" w:line="480" w:lineRule="auto"/>
      <w:ind w:left="283"/>
    </w:pPr>
  </w:style>
  <w:style w:type="character" w:customStyle="1" w:styleId="Avanodecorpodetexto2Carter">
    <w:name w:val="Avanço de corpo de texto 2 Caráter"/>
    <w:basedOn w:val="Tipodeletrapredefinidodopargrafo"/>
    <w:link w:val="Avanodecorpodetexto2"/>
    <w:uiPriority w:val="99"/>
    <w:semiHidden/>
    <w:rsid w:val="00F451EC"/>
    <w:rPr>
      <w:rFonts w:ascii="Calibri" w:eastAsia="Calibri" w:hAnsi="Calibri" w:cs="Times New Roman"/>
    </w:rPr>
  </w:style>
  <w:style w:type="paragraph" w:styleId="Textodenotadefim">
    <w:name w:val="endnote text"/>
    <w:basedOn w:val="Normal"/>
    <w:link w:val="TextodenotadefimCarter"/>
    <w:uiPriority w:val="99"/>
    <w:semiHidden/>
    <w:unhideWhenUsed/>
    <w:rsid w:val="00706E29"/>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706E29"/>
    <w:rPr>
      <w:rFonts w:ascii="Calibri" w:eastAsia="Calibri" w:hAnsi="Calibri" w:cs="Times New Roman"/>
      <w:sz w:val="20"/>
      <w:szCs w:val="20"/>
    </w:rPr>
  </w:style>
  <w:style w:type="character" w:styleId="Refdenotadefim">
    <w:name w:val="endnote reference"/>
    <w:basedOn w:val="Tipodeletrapredefinidodopargrafo"/>
    <w:uiPriority w:val="99"/>
    <w:semiHidden/>
    <w:unhideWhenUsed/>
    <w:rsid w:val="00706E29"/>
    <w:rPr>
      <w:vertAlign w:val="superscript"/>
    </w:rPr>
  </w:style>
  <w:style w:type="character" w:styleId="Hiperligaovisitada">
    <w:name w:val="FollowedHyperlink"/>
    <w:basedOn w:val="Tipodeletrapredefinidodopargrafo"/>
    <w:uiPriority w:val="99"/>
    <w:semiHidden/>
    <w:unhideWhenUsed/>
    <w:rsid w:val="006713B9"/>
    <w:rPr>
      <w:color w:val="800080" w:themeColor="followedHyperlink"/>
      <w:u w:val="single"/>
    </w:rPr>
  </w:style>
  <w:style w:type="character" w:customStyle="1" w:styleId="CaracteresdeNotadeRodap">
    <w:name w:val="Caracteres de Nota de Rodapé"/>
    <w:rsid w:val="00886F0E"/>
  </w:style>
  <w:style w:type="character" w:customStyle="1" w:styleId="tlid-translation">
    <w:name w:val="tlid-translation"/>
    <w:basedOn w:val="Tipodeletrapredefinidodopargrafo"/>
    <w:rsid w:val="00886F0E"/>
  </w:style>
  <w:style w:type="character" w:customStyle="1" w:styleId="Ttulo2Carter">
    <w:name w:val="Título 2 Caráter"/>
    <w:basedOn w:val="Tipodeletrapredefinidodopargrafo"/>
    <w:link w:val="Ttulo2"/>
    <w:uiPriority w:val="9"/>
    <w:rsid w:val="005F1AEA"/>
    <w:rPr>
      <w:rFonts w:ascii="Times New Roman" w:eastAsia="Times New Roman" w:hAnsi="Times New Roman" w:cs="Times New Roman"/>
      <w:b/>
      <w:bCs/>
      <w:sz w:val="36"/>
      <w:szCs w:val="36"/>
      <w:lang w:eastAsia="pt-BR"/>
    </w:rPr>
  </w:style>
  <w:style w:type="character" w:customStyle="1" w:styleId="Ttulo5Carter">
    <w:name w:val="Título 5 Caráter"/>
    <w:basedOn w:val="Tipodeletrapredefinidodopargrafo"/>
    <w:link w:val="Ttulo5"/>
    <w:uiPriority w:val="9"/>
    <w:semiHidden/>
    <w:rsid w:val="005F1AEA"/>
    <w:rPr>
      <w:rFonts w:asciiTheme="majorHAnsi" w:eastAsiaTheme="majorEastAsia" w:hAnsiTheme="majorHAnsi" w:cstheme="majorBidi"/>
      <w:color w:val="365F91" w:themeColor="accent1" w:themeShade="BF"/>
      <w:sz w:val="24"/>
      <w:szCs w:val="20"/>
      <w:lang w:eastAsia="pt-BR"/>
    </w:rPr>
  </w:style>
  <w:style w:type="character" w:customStyle="1" w:styleId="Ttulo9Carter">
    <w:name w:val="Título 9 Caráter"/>
    <w:basedOn w:val="Tipodeletrapredefinidodopargrafo"/>
    <w:link w:val="Ttulo9"/>
    <w:uiPriority w:val="9"/>
    <w:rsid w:val="005F1AEA"/>
    <w:rPr>
      <w:rFonts w:ascii="Cambria" w:eastAsia="Times New Roman" w:hAnsi="Cambria" w:cs="Times New Roman"/>
      <w:lang w:eastAsia="pt-BR"/>
    </w:rPr>
  </w:style>
  <w:style w:type="paragraph" w:customStyle="1" w:styleId="Standard">
    <w:name w:val="Standard"/>
    <w:rsid w:val="005F1AEA"/>
    <w:pPr>
      <w:widowControl w:val="0"/>
      <w:suppressAutoHyphens/>
      <w:autoSpaceDN w:val="0"/>
      <w:spacing w:after="0" w:line="240" w:lineRule="auto"/>
    </w:pPr>
    <w:rPr>
      <w:rFonts w:ascii="Times New Roman" w:eastAsia="Lucida Sans Unicode" w:hAnsi="Times New Roman" w:cs="Tahoma"/>
      <w:kern w:val="3"/>
      <w:sz w:val="24"/>
      <w:szCs w:val="24"/>
      <w:lang w:eastAsia="pt-BR"/>
    </w:rPr>
  </w:style>
  <w:style w:type="paragraph" w:customStyle="1" w:styleId="CAPANomeInstituicao">
    <w:name w:val="CAPA_NomeInstituicao"/>
    <w:basedOn w:val="Normal"/>
    <w:next w:val="Normal"/>
    <w:uiPriority w:val="99"/>
    <w:rsid w:val="005F1AEA"/>
    <w:pPr>
      <w:spacing w:after="0" w:line="240" w:lineRule="auto"/>
      <w:jc w:val="center"/>
    </w:pPr>
    <w:rPr>
      <w:rFonts w:ascii="Times New Roman" w:eastAsia="Times New Roman" w:hAnsi="Times New Roman"/>
      <w:b/>
      <w:sz w:val="32"/>
      <w:szCs w:val="32"/>
      <w:lang w:eastAsia="pt-BR"/>
    </w:rPr>
  </w:style>
  <w:style w:type="paragraph" w:customStyle="1" w:styleId="CAPACurso">
    <w:name w:val="CAPA_Curso"/>
    <w:basedOn w:val="Normal"/>
    <w:next w:val="Normal"/>
    <w:uiPriority w:val="99"/>
    <w:rsid w:val="005F1AEA"/>
    <w:pPr>
      <w:spacing w:after="0" w:line="240" w:lineRule="auto"/>
      <w:jc w:val="center"/>
    </w:pPr>
    <w:rPr>
      <w:rFonts w:ascii="Times New Roman" w:eastAsia="Times New Roman" w:hAnsi="Times New Roman"/>
      <w:b/>
      <w:sz w:val="24"/>
      <w:szCs w:val="24"/>
      <w:lang w:eastAsia="pt-BR"/>
    </w:rPr>
  </w:style>
  <w:style w:type="paragraph" w:customStyle="1" w:styleId="AgradecimentosTitulo">
    <w:name w:val="AgradecimentosTitulo"/>
    <w:basedOn w:val="Normal"/>
    <w:next w:val="Normal"/>
    <w:autoRedefine/>
    <w:uiPriority w:val="99"/>
    <w:rsid w:val="005F1AEA"/>
    <w:pPr>
      <w:spacing w:after="0" w:line="360" w:lineRule="auto"/>
      <w:jc w:val="center"/>
    </w:pPr>
    <w:rPr>
      <w:rFonts w:ascii="Times New Roman" w:eastAsia="Times New Roman" w:hAnsi="Times New Roman"/>
      <w:b/>
      <w:sz w:val="24"/>
      <w:szCs w:val="24"/>
      <w:lang w:eastAsia="pt-BR"/>
    </w:rPr>
  </w:style>
  <w:style w:type="paragraph" w:customStyle="1" w:styleId="Dedicatria">
    <w:name w:val="Dedicatória"/>
    <w:basedOn w:val="Normal"/>
    <w:next w:val="Normal"/>
    <w:uiPriority w:val="99"/>
    <w:rsid w:val="005F1AEA"/>
    <w:pPr>
      <w:spacing w:after="0" w:line="240" w:lineRule="auto"/>
    </w:pPr>
    <w:rPr>
      <w:rFonts w:ascii="Times New Roman" w:eastAsia="Times New Roman" w:hAnsi="Times New Roman"/>
      <w:lang w:eastAsia="pt-BR"/>
    </w:rPr>
  </w:style>
  <w:style w:type="paragraph" w:customStyle="1" w:styleId="Epgrafe1">
    <w:name w:val="Epígrafe1"/>
    <w:basedOn w:val="Normal"/>
    <w:next w:val="Normal"/>
    <w:uiPriority w:val="99"/>
    <w:rsid w:val="005F1AEA"/>
    <w:pPr>
      <w:spacing w:after="0" w:line="240" w:lineRule="auto"/>
      <w:jc w:val="right"/>
    </w:pPr>
    <w:rPr>
      <w:rFonts w:ascii="Times New Roman" w:eastAsia="Times New Roman" w:hAnsi="Times New Roman"/>
      <w:lang w:eastAsia="pt-BR"/>
    </w:rPr>
  </w:style>
  <w:style w:type="paragraph" w:customStyle="1" w:styleId="AgradecimentosFrase">
    <w:name w:val="AgradecimentosFrase"/>
    <w:basedOn w:val="Normal"/>
    <w:autoRedefine/>
    <w:uiPriority w:val="99"/>
    <w:rsid w:val="005F1AEA"/>
    <w:pPr>
      <w:spacing w:after="0" w:line="360" w:lineRule="auto"/>
      <w:ind w:firstLine="993"/>
      <w:jc w:val="center"/>
    </w:pPr>
    <w:rPr>
      <w:rFonts w:ascii="Times New Roman" w:eastAsia="Times New Roman" w:hAnsi="Times New Roman"/>
      <w:sz w:val="24"/>
      <w:szCs w:val="24"/>
      <w:lang w:eastAsia="pt-BR"/>
    </w:rPr>
  </w:style>
  <w:style w:type="paragraph" w:customStyle="1" w:styleId="ResumoFrase">
    <w:name w:val="ResumoFrase"/>
    <w:basedOn w:val="Normal"/>
    <w:next w:val="Normal"/>
    <w:autoRedefine/>
    <w:uiPriority w:val="99"/>
    <w:rsid w:val="005F1AEA"/>
    <w:pPr>
      <w:spacing w:after="0" w:line="240" w:lineRule="auto"/>
    </w:pPr>
    <w:rPr>
      <w:rFonts w:ascii="Times New Roman" w:eastAsia="Times New Roman" w:hAnsi="Times New Roman"/>
      <w:b/>
      <w:sz w:val="20"/>
      <w:szCs w:val="20"/>
      <w:lang w:val="es-ES" w:eastAsia="pt-BR"/>
    </w:rPr>
  </w:style>
  <w:style w:type="character" w:customStyle="1" w:styleId="googqs-tidbit-0">
    <w:name w:val="goog_qs-tidbit-0"/>
    <w:basedOn w:val="Tipodeletrapredefinidodopargrafo"/>
    <w:rsid w:val="005F1AEA"/>
  </w:style>
  <w:style w:type="character" w:customStyle="1" w:styleId="st2">
    <w:name w:val="st2"/>
    <w:basedOn w:val="Tipodeletrapredefinidodopargrafo"/>
    <w:rsid w:val="005F1AEA"/>
  </w:style>
  <w:style w:type="numbering" w:customStyle="1" w:styleId="Semlista1">
    <w:name w:val="Sem lista1"/>
    <w:next w:val="Semlista"/>
    <w:uiPriority w:val="99"/>
    <w:semiHidden/>
    <w:unhideWhenUsed/>
    <w:rsid w:val="005F1AEA"/>
  </w:style>
  <w:style w:type="numbering" w:customStyle="1" w:styleId="Semlista11">
    <w:name w:val="Sem lista11"/>
    <w:next w:val="Semlista"/>
    <w:semiHidden/>
    <w:rsid w:val="005F1AEA"/>
  </w:style>
  <w:style w:type="table" w:customStyle="1" w:styleId="Tabelacomgrade1">
    <w:name w:val="Tabela com grade1"/>
    <w:basedOn w:val="Tabelanormal"/>
    <w:next w:val="TabelacomGrelha"/>
    <w:rsid w:val="005F1AEA"/>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2">
    <w:name w:val="Sem lista2"/>
    <w:next w:val="Semlista"/>
    <w:semiHidden/>
    <w:rsid w:val="005F1AEA"/>
  </w:style>
  <w:style w:type="character" w:styleId="Nmerodepgina">
    <w:name w:val="page number"/>
    <w:basedOn w:val="Tipodeletrapredefinidodopargrafo"/>
    <w:rsid w:val="005F1AEA"/>
  </w:style>
  <w:style w:type="table" w:styleId="Tabelacomgrelha2">
    <w:name w:val="Table Grid 2"/>
    <w:basedOn w:val="Tabelanormal"/>
    <w:rsid w:val="005F1AEA"/>
    <w:pPr>
      <w:spacing w:after="0" w:line="240" w:lineRule="auto"/>
    </w:pPr>
    <w:rPr>
      <w:rFonts w:ascii="Times New Roman" w:eastAsia="Times New Roman" w:hAnsi="Times New Roman" w:cs="Times New Roman"/>
      <w:sz w:val="20"/>
      <w:szCs w:val="20"/>
      <w:lang w:eastAsia="pt-BR"/>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acomgrade2">
    <w:name w:val="Tabela com grade2"/>
    <w:basedOn w:val="Tabelanormal"/>
    <w:next w:val="TabelacomGrelha"/>
    <w:rsid w:val="005F1AE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E6E6E6"/>
    </w:tcPr>
  </w:style>
  <w:style w:type="paragraph" w:customStyle="1" w:styleId="Avanodecorpodetexto31">
    <w:name w:val="Avanço de corpo de texto 31"/>
    <w:basedOn w:val="Normal"/>
    <w:next w:val="Normal"/>
    <w:uiPriority w:val="99"/>
    <w:rsid w:val="005F1AEA"/>
    <w:pPr>
      <w:autoSpaceDE w:val="0"/>
      <w:autoSpaceDN w:val="0"/>
      <w:adjustRightInd w:val="0"/>
      <w:spacing w:after="0" w:line="240" w:lineRule="auto"/>
    </w:pPr>
    <w:rPr>
      <w:rFonts w:ascii="DGGMNC+TimesNewRoman" w:eastAsia="Times New Roman" w:hAnsi="DGGMNC+TimesNewRoman"/>
      <w:sz w:val="24"/>
      <w:szCs w:val="24"/>
      <w:lang w:eastAsia="pt-BR"/>
    </w:rPr>
  </w:style>
  <w:style w:type="character" w:customStyle="1" w:styleId="yiv1029282384apple-style-span">
    <w:name w:val="yiv1029282384apple-style-span"/>
    <w:basedOn w:val="Tipodeletrapredefinidodopargrafo"/>
    <w:rsid w:val="005F1AEA"/>
  </w:style>
  <w:style w:type="character" w:customStyle="1" w:styleId="descricao1">
    <w:name w:val="descricao1"/>
    <w:rsid w:val="005F1AEA"/>
    <w:rPr>
      <w:color w:val="000000"/>
      <w:sz w:val="20"/>
      <w:szCs w:val="20"/>
    </w:rPr>
  </w:style>
  <w:style w:type="paragraph" w:customStyle="1" w:styleId="CapaFRNomeAutor">
    <w:name w:val="Capa&amp;FR_NomeAutor"/>
    <w:basedOn w:val="Normal"/>
    <w:next w:val="Normal"/>
    <w:uiPriority w:val="99"/>
    <w:rsid w:val="005F1AEA"/>
    <w:pPr>
      <w:spacing w:after="0" w:line="240" w:lineRule="auto"/>
      <w:jc w:val="center"/>
    </w:pPr>
    <w:rPr>
      <w:rFonts w:ascii="Times New Roman" w:eastAsia="Times New Roman" w:hAnsi="Times New Roman"/>
      <w:b/>
      <w:sz w:val="28"/>
      <w:szCs w:val="28"/>
      <w:lang w:eastAsia="pt-BR"/>
    </w:rPr>
  </w:style>
  <w:style w:type="paragraph" w:customStyle="1" w:styleId="CAPAFRSubTituloNormal">
    <w:name w:val="CAPA&amp;FR_SubTitulo_Normal"/>
    <w:basedOn w:val="Normal"/>
    <w:next w:val="Normal"/>
    <w:uiPriority w:val="99"/>
    <w:rsid w:val="005F1AEA"/>
    <w:pPr>
      <w:spacing w:after="0" w:line="240" w:lineRule="auto"/>
      <w:jc w:val="center"/>
    </w:pPr>
    <w:rPr>
      <w:rFonts w:ascii="Times New Roman" w:eastAsia="Times New Roman" w:hAnsi="Times New Roman"/>
      <w:b/>
      <w:sz w:val="28"/>
      <w:szCs w:val="28"/>
      <w:lang w:eastAsia="pt-BR"/>
    </w:rPr>
  </w:style>
  <w:style w:type="paragraph" w:customStyle="1" w:styleId="FRNotaOrientador">
    <w:name w:val="FR_NotaOrientador"/>
    <w:basedOn w:val="Normal"/>
    <w:next w:val="Normal"/>
    <w:uiPriority w:val="99"/>
    <w:rsid w:val="005F1AEA"/>
    <w:pPr>
      <w:spacing w:after="0" w:line="240" w:lineRule="auto"/>
    </w:pPr>
    <w:rPr>
      <w:rFonts w:ascii="Times New Roman" w:eastAsia="Times New Roman" w:hAnsi="Times New Roman"/>
      <w:sz w:val="24"/>
      <w:szCs w:val="24"/>
      <w:lang w:eastAsia="pt-BR"/>
    </w:rPr>
  </w:style>
  <w:style w:type="character" w:customStyle="1" w:styleId="style11">
    <w:name w:val="style11"/>
    <w:rsid w:val="005F1AEA"/>
  </w:style>
  <w:style w:type="table" w:customStyle="1" w:styleId="Tabelacomgrade3">
    <w:name w:val="Tabela com grade3"/>
    <w:basedOn w:val="Tabelanormal"/>
    <w:next w:val="TabelacomGrelha"/>
    <w:uiPriority w:val="59"/>
    <w:rsid w:val="005F1A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elha"/>
    <w:uiPriority w:val="59"/>
    <w:rsid w:val="005F1A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known">
    <w:name w:val="unknown"/>
    <w:basedOn w:val="Tipodeletrapredefinidodopargrafo"/>
    <w:rsid w:val="005F1AEA"/>
  </w:style>
  <w:style w:type="table" w:styleId="SombreadoClaro">
    <w:name w:val="Light Shading"/>
    <w:basedOn w:val="Tabelanormal"/>
    <w:uiPriority w:val="60"/>
    <w:rsid w:val="005F1A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Tipodeletrapredefinidodopargrafo"/>
    <w:rsid w:val="005F1AEA"/>
    <w:rPr>
      <w:rFonts w:ascii="Times New Roman" w:hAnsi="Times New Roman" w:cs="Times New Roman" w:hint="default"/>
      <w:b w:val="0"/>
      <w:bCs w:val="0"/>
      <w:i w:val="0"/>
      <w:iCs w:val="0"/>
      <w:color w:val="000000"/>
      <w:sz w:val="24"/>
      <w:szCs w:val="24"/>
    </w:rPr>
  </w:style>
  <w:style w:type="character" w:customStyle="1" w:styleId="fontstyle21">
    <w:name w:val="fontstyle21"/>
    <w:basedOn w:val="Tipodeletrapredefinidodopargrafo"/>
    <w:rsid w:val="005F1AEA"/>
    <w:rPr>
      <w:rFonts w:ascii="Times New Roman" w:hAnsi="Times New Roman" w:cs="Times New Roman" w:hint="default"/>
      <w:b w:val="0"/>
      <w:bCs w:val="0"/>
      <w:i/>
      <w:iCs/>
      <w:color w:val="000000"/>
      <w:sz w:val="24"/>
      <w:szCs w:val="24"/>
    </w:rPr>
  </w:style>
  <w:style w:type="numbering" w:customStyle="1" w:styleId="Semlista3">
    <w:name w:val="Sem lista3"/>
    <w:next w:val="Semlista"/>
    <w:uiPriority w:val="99"/>
    <w:semiHidden/>
    <w:unhideWhenUsed/>
    <w:rsid w:val="005F1AEA"/>
  </w:style>
  <w:style w:type="table" w:customStyle="1" w:styleId="Tabelacomgrade5">
    <w:name w:val="Tabela com grade5"/>
    <w:basedOn w:val="Tabelanormal"/>
    <w:next w:val="TabelacomGrelha"/>
    <w:rsid w:val="005F1AE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iPriority w:val="99"/>
    <w:semiHidden/>
    <w:unhideWhenUsed/>
    <w:rsid w:val="005F1AEA"/>
  </w:style>
  <w:style w:type="numbering" w:customStyle="1" w:styleId="Semlista111">
    <w:name w:val="Sem lista111"/>
    <w:next w:val="Semlista"/>
    <w:semiHidden/>
    <w:rsid w:val="005F1AEA"/>
  </w:style>
  <w:style w:type="table" w:customStyle="1" w:styleId="Tabelacomgrade11">
    <w:name w:val="Tabela com grade11"/>
    <w:basedOn w:val="Tabelanormal"/>
    <w:next w:val="TabelacomGrelha"/>
    <w:rsid w:val="005F1AEA"/>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21">
    <w:name w:val="Sem lista21"/>
    <w:next w:val="Semlista"/>
    <w:semiHidden/>
    <w:rsid w:val="005F1AEA"/>
  </w:style>
  <w:style w:type="table" w:customStyle="1" w:styleId="Tabelacomgrade21">
    <w:name w:val="Tabela com grade 21"/>
    <w:basedOn w:val="Tabelanormal"/>
    <w:next w:val="Tabelacomgrelha2"/>
    <w:rsid w:val="005F1AEA"/>
    <w:pPr>
      <w:spacing w:after="0" w:line="240" w:lineRule="auto"/>
    </w:pPr>
    <w:rPr>
      <w:rFonts w:ascii="Times New Roman" w:eastAsia="Times New Roman" w:hAnsi="Times New Roman" w:cs="Times New Roman"/>
      <w:sz w:val="20"/>
      <w:szCs w:val="20"/>
      <w:lang w:eastAsia="pt-BR"/>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acomgrade210">
    <w:name w:val="Tabela com grade21"/>
    <w:basedOn w:val="Tabelanormal"/>
    <w:next w:val="TabelacomGrelha"/>
    <w:rsid w:val="005F1AE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E6E6E6"/>
    </w:tcPr>
  </w:style>
  <w:style w:type="table" w:customStyle="1" w:styleId="Tabelacomgrade31">
    <w:name w:val="Tabela com grade31"/>
    <w:basedOn w:val="Tabelanormal"/>
    <w:next w:val="TabelacomGrelha"/>
    <w:uiPriority w:val="59"/>
    <w:rsid w:val="005F1A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1">
    <w:name w:val="Tabela com grade41"/>
    <w:basedOn w:val="Tabelanormal"/>
    <w:next w:val="TabelacomGrelha"/>
    <w:uiPriority w:val="59"/>
    <w:rsid w:val="005F1A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rsid w:val="005F1AEA"/>
    <w:pPr>
      <w:spacing w:line="221" w:lineRule="atLeast"/>
    </w:pPr>
    <w:rPr>
      <w:rFonts w:ascii="Adobe Garamond Pro" w:eastAsia="Times New Roman" w:hAnsi="Adobe Garamond Pro" w:cs="Times New Roman"/>
      <w:color w:val="auto"/>
      <w:lang w:eastAsia="pt-BR"/>
    </w:rPr>
  </w:style>
  <w:style w:type="table" w:styleId="SombreadoClaro-Cor1">
    <w:name w:val="Light Shading Accent 1"/>
    <w:basedOn w:val="Tabelanormal"/>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deGrade1Clara-nfase11">
    <w:name w:val="Tabela de Grade 1 Clara - Ênfase 11"/>
    <w:basedOn w:val="Tabelanormal"/>
    <w:uiPriority w:val="46"/>
    <w:rsid w:val="005F1AEA"/>
    <w:pPr>
      <w:spacing w:after="0" w:line="240" w:lineRule="auto"/>
    </w:pPr>
    <w:rPr>
      <w:rFonts w:ascii="Calibri" w:eastAsia="Calibri" w:hAnsi="Calibri"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FaculdadeeNome">
    <w:name w:val="T Faculdade e Nome"/>
    <w:qFormat/>
    <w:rsid w:val="005F1AEA"/>
    <w:pPr>
      <w:spacing w:after="0" w:line="288" w:lineRule="auto"/>
      <w:jc w:val="center"/>
    </w:pPr>
    <w:rPr>
      <w:rFonts w:ascii="Times New Roman" w:eastAsia="Calibri" w:hAnsi="Times New Roman" w:cs="Gill Sans"/>
      <w:color w:val="000000" w:themeColor="text1"/>
      <w:sz w:val="28"/>
      <w:szCs w:val="28"/>
      <w:lang w:val="pt-PT"/>
    </w:rPr>
  </w:style>
  <w:style w:type="paragraph" w:customStyle="1" w:styleId="TRostoSubtitulo">
    <w:name w:val="T Rosto Subtitulo"/>
    <w:qFormat/>
    <w:rsid w:val="005F1AEA"/>
    <w:pPr>
      <w:spacing w:after="0" w:line="288" w:lineRule="auto"/>
      <w:ind w:right="-1"/>
      <w:jc w:val="center"/>
    </w:pPr>
    <w:rPr>
      <w:rFonts w:ascii="Gill Sans Std" w:eastAsia="Calibri" w:hAnsi="Gill Sans Std" w:cs="Gill Sans"/>
      <w:sz w:val="50"/>
      <w:szCs w:val="28"/>
      <w:lang w:val="pt-PT"/>
    </w:rPr>
  </w:style>
  <w:style w:type="paragraph" w:styleId="Ttulo">
    <w:name w:val="Title"/>
    <w:aliases w:val="T Título"/>
    <w:next w:val="Normal"/>
    <w:link w:val="TtuloCarter"/>
    <w:autoRedefine/>
    <w:uiPriority w:val="10"/>
    <w:qFormat/>
    <w:rsid w:val="005F1AEA"/>
    <w:pPr>
      <w:pageBreakBefore/>
      <w:pBdr>
        <w:bottom w:val="single" w:sz="6" w:space="1" w:color="auto"/>
      </w:pBdr>
      <w:spacing w:before="400" w:after="0" w:line="240" w:lineRule="auto"/>
      <w:jc w:val="both"/>
    </w:pPr>
    <w:rPr>
      <w:rFonts w:ascii="Gill Sans MT" w:eastAsia="Calibri" w:hAnsi="Gill Sans MT" w:cs="Gill Sans"/>
      <w:b/>
      <w:noProof/>
      <w:sz w:val="36"/>
      <w:szCs w:val="28"/>
      <w:lang w:val="pt-PT" w:eastAsia="pt-PT"/>
    </w:rPr>
  </w:style>
  <w:style w:type="character" w:customStyle="1" w:styleId="TtuloCarter">
    <w:name w:val="Título Caráter"/>
    <w:aliases w:val="T Título Caráter"/>
    <w:basedOn w:val="Tipodeletrapredefinidodopargrafo"/>
    <w:link w:val="Ttulo"/>
    <w:uiPriority w:val="10"/>
    <w:rsid w:val="005F1AEA"/>
    <w:rPr>
      <w:rFonts w:ascii="Gill Sans MT" w:eastAsia="Calibri" w:hAnsi="Gill Sans MT" w:cs="Gill Sans"/>
      <w:b/>
      <w:noProof/>
      <w:sz w:val="36"/>
      <w:szCs w:val="28"/>
      <w:lang w:val="pt-PT" w:eastAsia="pt-PT"/>
    </w:rPr>
  </w:style>
  <w:style w:type="paragraph" w:styleId="Legenda">
    <w:name w:val="caption"/>
    <w:aliases w:val="T Legenda"/>
    <w:basedOn w:val="Normal"/>
    <w:next w:val="Normal"/>
    <w:qFormat/>
    <w:rsid w:val="005F1AEA"/>
    <w:pPr>
      <w:spacing w:after="0" w:line="336" w:lineRule="auto"/>
      <w:jc w:val="center"/>
    </w:pPr>
    <w:rPr>
      <w:rFonts w:ascii="Times New Roman" w:hAnsi="Times New Roman" w:cs="Gill Sans"/>
      <w:bCs/>
      <w:szCs w:val="20"/>
      <w:lang w:val="pt-PT"/>
    </w:rPr>
  </w:style>
  <w:style w:type="paragraph" w:customStyle="1" w:styleId="TNotaRodape">
    <w:name w:val="T Nota Rodape"/>
    <w:basedOn w:val="Normal"/>
    <w:qFormat/>
    <w:rsid w:val="005F1AEA"/>
    <w:pPr>
      <w:spacing w:after="0" w:line="336" w:lineRule="auto"/>
      <w:jc w:val="both"/>
    </w:pPr>
    <w:rPr>
      <w:rFonts w:ascii="Times New Roman" w:hAnsi="Times New Roman" w:cs="Gill Sans"/>
      <w:sz w:val="20"/>
      <w:szCs w:val="24"/>
      <w:lang w:val="pt-PT"/>
    </w:rPr>
  </w:style>
  <w:style w:type="paragraph" w:customStyle="1" w:styleId="TCitao">
    <w:name w:val="T Citação"/>
    <w:basedOn w:val="Normal"/>
    <w:qFormat/>
    <w:rsid w:val="005F1AEA"/>
    <w:pPr>
      <w:spacing w:before="120" w:after="240" w:line="312" w:lineRule="auto"/>
      <w:ind w:left="709"/>
      <w:jc w:val="both"/>
    </w:pPr>
    <w:rPr>
      <w:rFonts w:ascii="Times New Roman" w:hAnsi="Times New Roman" w:cs="Gill Sans"/>
      <w:i/>
      <w:szCs w:val="24"/>
      <w:lang w:val="pt-PT"/>
    </w:rPr>
  </w:style>
  <w:style w:type="paragraph" w:customStyle="1" w:styleId="TIndice">
    <w:name w:val="T Indice"/>
    <w:qFormat/>
    <w:rsid w:val="005F1AEA"/>
    <w:pPr>
      <w:tabs>
        <w:tab w:val="left" w:leader="dot" w:pos="7513"/>
      </w:tabs>
      <w:spacing w:after="0" w:line="360" w:lineRule="auto"/>
    </w:pPr>
    <w:rPr>
      <w:rFonts w:ascii="Times New Roman" w:eastAsia="Calibri" w:hAnsi="Times New Roman" w:cs="Gill Sans"/>
      <w:szCs w:val="24"/>
      <w:lang w:val="pt-PT"/>
    </w:rPr>
  </w:style>
  <w:style w:type="paragraph" w:customStyle="1" w:styleId="TBibliografia">
    <w:name w:val="T Bibliografia"/>
    <w:basedOn w:val="Normal"/>
    <w:qFormat/>
    <w:rsid w:val="005F1AEA"/>
    <w:pPr>
      <w:spacing w:after="0" w:line="336" w:lineRule="auto"/>
      <w:ind w:left="284" w:hanging="284"/>
      <w:jc w:val="both"/>
    </w:pPr>
    <w:rPr>
      <w:rFonts w:ascii="Times New Roman" w:hAnsi="Times New Roman" w:cs="Gill Sans"/>
      <w:szCs w:val="24"/>
      <w:lang w:val="pt-PT"/>
    </w:rPr>
  </w:style>
  <w:style w:type="table" w:customStyle="1" w:styleId="SombreamentoClaro-nfase11">
    <w:name w:val="Sombreamento Claro - Ênfase 11"/>
    <w:basedOn w:val="Tabelanormal"/>
    <w:next w:val="SombreadoClaro-Cor1"/>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
    <w:name w:val="Sombreamento Claro - Ênfase 12"/>
    <w:basedOn w:val="Tabelanormal"/>
    <w:next w:val="SombreadoClaro-Cor1"/>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1LightAccent11">
    <w:name w:val="Grid Table 1 Light Accent 11"/>
    <w:basedOn w:val="Tabelanormal"/>
    <w:uiPriority w:val="46"/>
    <w:rsid w:val="005F1AEA"/>
    <w:pPr>
      <w:spacing w:after="0" w:line="240" w:lineRule="auto"/>
    </w:pPr>
    <w:rPr>
      <w:rFonts w:ascii="Calibri" w:eastAsia="Calibri" w:hAnsi="Calibri"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SombreamentoClaro-nfase13">
    <w:name w:val="Sombreamento Claro - Ênfase 13"/>
    <w:basedOn w:val="Tabelanormal"/>
    <w:next w:val="SombreadoClaro-Cor1"/>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1">
    <w:name w:val="Sombreamento Claro1"/>
    <w:basedOn w:val="Tabelanormal"/>
    <w:next w:val="SombreadoClaro"/>
    <w:uiPriority w:val="60"/>
    <w:rsid w:val="005F1AEA"/>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emlista31">
    <w:name w:val="Sem lista31"/>
    <w:next w:val="Semlista"/>
    <w:uiPriority w:val="99"/>
    <w:semiHidden/>
    <w:unhideWhenUsed/>
    <w:rsid w:val="005F1AEA"/>
  </w:style>
  <w:style w:type="numbering" w:customStyle="1" w:styleId="Semlista121">
    <w:name w:val="Sem lista121"/>
    <w:next w:val="Semlista"/>
    <w:uiPriority w:val="99"/>
    <w:semiHidden/>
    <w:unhideWhenUsed/>
    <w:rsid w:val="005F1AEA"/>
  </w:style>
  <w:style w:type="numbering" w:customStyle="1" w:styleId="Semlista1111">
    <w:name w:val="Sem lista1111"/>
    <w:next w:val="Semlista"/>
    <w:semiHidden/>
    <w:rsid w:val="005F1AEA"/>
  </w:style>
  <w:style w:type="numbering" w:customStyle="1" w:styleId="Semlista211">
    <w:name w:val="Sem lista211"/>
    <w:next w:val="Semlista"/>
    <w:semiHidden/>
    <w:rsid w:val="005F1AEA"/>
  </w:style>
  <w:style w:type="table" w:customStyle="1" w:styleId="SombreamentoClaro11">
    <w:name w:val="Sombreamento Claro11"/>
    <w:basedOn w:val="Tabelanormal"/>
    <w:next w:val="SombreadoClaro"/>
    <w:uiPriority w:val="60"/>
    <w:rsid w:val="005F1AE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Simples41">
    <w:name w:val="Tabela Simples 41"/>
    <w:basedOn w:val="Tabelanormal"/>
    <w:uiPriority w:val="44"/>
    <w:rsid w:val="005F1AEA"/>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aMdia1-Cor3">
    <w:name w:val="Medium List 1 Accent 3"/>
    <w:basedOn w:val="Tabelanormal"/>
    <w:uiPriority w:val="65"/>
    <w:rsid w:val="005F1AEA"/>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a">
    <w:name w:val="a"/>
    <w:rsid w:val="005F1AEA"/>
  </w:style>
  <w:style w:type="character" w:customStyle="1" w:styleId="MenoPendente1">
    <w:name w:val="Menção Pendente1"/>
    <w:uiPriority w:val="99"/>
    <w:semiHidden/>
    <w:unhideWhenUsed/>
    <w:rsid w:val="005F1AEA"/>
    <w:rPr>
      <w:color w:val="605E5C"/>
      <w:shd w:val="clear" w:color="auto" w:fill="E1DFDD"/>
    </w:rPr>
  </w:style>
  <w:style w:type="table" w:customStyle="1" w:styleId="SombreamentoClaro-nfase14">
    <w:name w:val="Sombreamento Claro - Ênfase 14"/>
    <w:basedOn w:val="Tabelanormal"/>
    <w:next w:val="SombreadoClaro-Cor1"/>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5">
    <w:name w:val="Sombreamento Claro - Ênfase 15"/>
    <w:basedOn w:val="Tabelanormal"/>
    <w:next w:val="SombreadoClaro-Cor1"/>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j">
    <w:name w:val="j"/>
    <w:basedOn w:val="Normal"/>
    <w:rsid w:val="005F1AE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h">
    <w:name w:val="h"/>
    <w:rsid w:val="005F1AEA"/>
  </w:style>
  <w:style w:type="character" w:customStyle="1" w:styleId="nacep">
    <w:name w:val="n_acep"/>
    <w:rsid w:val="005F1AEA"/>
  </w:style>
  <w:style w:type="table" w:customStyle="1" w:styleId="SombreamentoClaro-nfase16">
    <w:name w:val="Sombreamento Claro - Ênfase 16"/>
    <w:basedOn w:val="Tabelanormal"/>
    <w:next w:val="SombreadoClaro-Cor1"/>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7">
    <w:name w:val="Sombreamento Claro - Ênfase 17"/>
    <w:basedOn w:val="Tabelanormal"/>
    <w:next w:val="SombreadoClaro-Cor1"/>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Colorida-Cor1">
    <w:name w:val="Colorful List Accent 1"/>
    <w:basedOn w:val="Tabelanormal"/>
    <w:uiPriority w:val="72"/>
    <w:rsid w:val="005F1AEA"/>
    <w:pPr>
      <w:spacing w:after="0" w:line="240" w:lineRule="auto"/>
    </w:pPr>
    <w:rPr>
      <w:rFonts w:ascii="Times New Roman" w:eastAsia="Times New Roman" w:hAnsi="Times New Roman" w:cs="Times New Roman"/>
      <w:color w:val="000000" w:themeColor="text1"/>
      <w:sz w:val="20"/>
      <w:szCs w:val="20"/>
      <w:lang w:eastAsia="pt-BR"/>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ombreadoClaro-Cor2">
    <w:name w:val="Light Shading Accent 2"/>
    <w:basedOn w:val="Tabelanormal"/>
    <w:uiPriority w:val="60"/>
    <w:qFormat/>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11">
    <w:name w:val="Sombreamento Claro - Ênfase 111"/>
    <w:basedOn w:val="Tabelanormal"/>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5F1AEA"/>
  </w:style>
  <w:style w:type="table" w:customStyle="1" w:styleId="SombreamentoClaro-nfase112">
    <w:name w:val="Sombreamento Claro - Ênfase 112"/>
    <w:basedOn w:val="Tabelanormal"/>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dice4">
    <w:name w:val="toc 4"/>
    <w:basedOn w:val="Normal"/>
    <w:next w:val="Normal"/>
    <w:autoRedefine/>
    <w:uiPriority w:val="39"/>
    <w:unhideWhenUsed/>
    <w:rsid w:val="005F1AEA"/>
    <w:pPr>
      <w:spacing w:after="0" w:line="240" w:lineRule="auto"/>
      <w:ind w:left="480"/>
    </w:pPr>
    <w:rPr>
      <w:rFonts w:asciiTheme="minorHAnsi" w:eastAsia="Times New Roman" w:hAnsiTheme="minorHAnsi" w:cstheme="minorHAnsi"/>
      <w:sz w:val="20"/>
      <w:szCs w:val="20"/>
      <w:lang w:eastAsia="pt-BR"/>
    </w:rPr>
  </w:style>
  <w:style w:type="paragraph" w:styleId="ndice5">
    <w:name w:val="toc 5"/>
    <w:basedOn w:val="Normal"/>
    <w:next w:val="Normal"/>
    <w:autoRedefine/>
    <w:uiPriority w:val="39"/>
    <w:unhideWhenUsed/>
    <w:rsid w:val="005F1AEA"/>
    <w:pPr>
      <w:spacing w:after="0" w:line="240" w:lineRule="auto"/>
      <w:ind w:left="720"/>
    </w:pPr>
    <w:rPr>
      <w:rFonts w:asciiTheme="minorHAnsi" w:eastAsia="Times New Roman" w:hAnsiTheme="minorHAnsi" w:cstheme="minorHAnsi"/>
      <w:sz w:val="20"/>
      <w:szCs w:val="20"/>
      <w:lang w:eastAsia="pt-BR"/>
    </w:rPr>
  </w:style>
  <w:style w:type="paragraph" w:styleId="ndice6">
    <w:name w:val="toc 6"/>
    <w:basedOn w:val="Normal"/>
    <w:next w:val="Normal"/>
    <w:autoRedefine/>
    <w:uiPriority w:val="39"/>
    <w:unhideWhenUsed/>
    <w:rsid w:val="005F1AEA"/>
    <w:pPr>
      <w:spacing w:after="0" w:line="240" w:lineRule="auto"/>
      <w:ind w:left="960"/>
    </w:pPr>
    <w:rPr>
      <w:rFonts w:asciiTheme="minorHAnsi" w:eastAsia="Times New Roman" w:hAnsiTheme="minorHAnsi" w:cstheme="minorHAnsi"/>
      <w:sz w:val="20"/>
      <w:szCs w:val="20"/>
      <w:lang w:eastAsia="pt-BR"/>
    </w:rPr>
  </w:style>
  <w:style w:type="paragraph" w:styleId="ndice7">
    <w:name w:val="toc 7"/>
    <w:basedOn w:val="Normal"/>
    <w:next w:val="Normal"/>
    <w:autoRedefine/>
    <w:uiPriority w:val="39"/>
    <w:unhideWhenUsed/>
    <w:rsid w:val="005F1AEA"/>
    <w:pPr>
      <w:spacing w:after="0" w:line="240" w:lineRule="auto"/>
      <w:ind w:left="1200"/>
    </w:pPr>
    <w:rPr>
      <w:rFonts w:asciiTheme="minorHAnsi" w:eastAsia="Times New Roman" w:hAnsiTheme="minorHAnsi" w:cstheme="minorHAnsi"/>
      <w:sz w:val="20"/>
      <w:szCs w:val="20"/>
      <w:lang w:eastAsia="pt-BR"/>
    </w:rPr>
  </w:style>
  <w:style w:type="paragraph" w:styleId="ndice8">
    <w:name w:val="toc 8"/>
    <w:basedOn w:val="Normal"/>
    <w:next w:val="Normal"/>
    <w:autoRedefine/>
    <w:uiPriority w:val="39"/>
    <w:unhideWhenUsed/>
    <w:rsid w:val="005F1AEA"/>
    <w:pPr>
      <w:spacing w:after="0" w:line="240" w:lineRule="auto"/>
      <w:ind w:left="1440"/>
    </w:pPr>
    <w:rPr>
      <w:rFonts w:asciiTheme="minorHAnsi" w:eastAsia="Times New Roman" w:hAnsiTheme="minorHAnsi" w:cstheme="minorHAnsi"/>
      <w:sz w:val="20"/>
      <w:szCs w:val="20"/>
      <w:lang w:eastAsia="pt-BR"/>
    </w:rPr>
  </w:style>
  <w:style w:type="paragraph" w:styleId="ndice9">
    <w:name w:val="toc 9"/>
    <w:basedOn w:val="Normal"/>
    <w:next w:val="Normal"/>
    <w:autoRedefine/>
    <w:uiPriority w:val="39"/>
    <w:unhideWhenUsed/>
    <w:rsid w:val="005F1AEA"/>
    <w:pPr>
      <w:spacing w:after="0" w:line="240" w:lineRule="auto"/>
      <w:ind w:left="1680"/>
    </w:pPr>
    <w:rPr>
      <w:rFonts w:asciiTheme="minorHAnsi" w:eastAsia="Times New Roman" w:hAnsiTheme="minorHAnsi" w:cstheme="minorHAnsi"/>
      <w:sz w:val="20"/>
      <w:szCs w:val="20"/>
      <w:lang w:eastAsia="pt-BR"/>
    </w:rPr>
  </w:style>
  <w:style w:type="character" w:customStyle="1" w:styleId="MenoPendente2">
    <w:name w:val="Menção Pendente2"/>
    <w:basedOn w:val="Tipodeletrapredefinidodopargrafo"/>
    <w:uiPriority w:val="99"/>
    <w:semiHidden/>
    <w:unhideWhenUsed/>
    <w:rsid w:val="005F1AEA"/>
    <w:rPr>
      <w:color w:val="605E5C"/>
      <w:shd w:val="clear" w:color="auto" w:fill="E1DFDD"/>
    </w:rPr>
  </w:style>
  <w:style w:type="paragraph" w:customStyle="1" w:styleId="ttulo50">
    <w:name w:val="título 5"/>
    <w:basedOn w:val="Ttulo5"/>
    <w:next w:val="Normal"/>
    <w:link w:val="ttulo5Char"/>
    <w:qFormat/>
    <w:rsid w:val="005F1AEA"/>
    <w:rPr>
      <w:rFonts w:ascii="Times New Roman" w:hAnsi="Times New Roman"/>
      <w:sz w:val="20"/>
    </w:rPr>
  </w:style>
  <w:style w:type="character" w:customStyle="1" w:styleId="ttulo5Char">
    <w:name w:val="título 5 Char"/>
    <w:basedOn w:val="Ttulo1Carter"/>
    <w:link w:val="ttulo50"/>
    <w:rsid w:val="005F1AEA"/>
    <w:rPr>
      <w:rFonts w:ascii="Times New Roman" w:eastAsiaTheme="majorEastAsia" w:hAnsi="Times New Roman" w:cstheme="majorBidi"/>
      <w:b w:val="0"/>
      <w:bCs w:val="0"/>
      <w:color w:val="365F91" w:themeColor="accent1" w:themeShade="BF"/>
      <w:sz w:val="20"/>
      <w:szCs w:val="20"/>
      <w:lang w:eastAsia="pt-BR"/>
    </w:rPr>
  </w:style>
  <w:style w:type="table" w:customStyle="1" w:styleId="TabeladeGrade1Clara-nfase12">
    <w:name w:val="Tabela de Grade 1 Clara - Ênfase 12"/>
    <w:basedOn w:val="Tabelanormal"/>
    <w:uiPriority w:val="46"/>
    <w:rsid w:val="005F1AEA"/>
    <w:pPr>
      <w:spacing w:after="0" w:line="240" w:lineRule="auto"/>
    </w:pPr>
    <w:rPr>
      <w:rFonts w:ascii="Calibri" w:eastAsia="Calibri" w:hAnsi="Calibri"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imples42">
    <w:name w:val="Tabela Simples 42"/>
    <w:basedOn w:val="Tabelanormal"/>
    <w:uiPriority w:val="44"/>
    <w:rsid w:val="005F1AEA"/>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oPendente3">
    <w:name w:val="Menção Pendente3"/>
    <w:uiPriority w:val="99"/>
    <w:semiHidden/>
    <w:unhideWhenUsed/>
    <w:rsid w:val="005F1AEA"/>
    <w:rPr>
      <w:color w:val="605E5C"/>
      <w:shd w:val="clear" w:color="auto" w:fill="E1DFDD"/>
    </w:rPr>
  </w:style>
  <w:style w:type="table" w:customStyle="1" w:styleId="ListaColorida-nfase11">
    <w:name w:val="Lista Colorida - Ênfase 11"/>
    <w:basedOn w:val="Tabelanormal"/>
    <w:next w:val="ListaColorida-Cor1"/>
    <w:uiPriority w:val="72"/>
    <w:rsid w:val="005F1AEA"/>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SombreamentoClaro-nfase21">
    <w:name w:val="Sombreamento Claro - Ênfase 21"/>
    <w:basedOn w:val="Tabelanormal"/>
    <w:next w:val="SombreadoClaro-Cor2"/>
    <w:uiPriority w:val="60"/>
    <w:qFormat/>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111">
    <w:name w:val="Sombreamento Claro - Ênfase 1111"/>
    <w:basedOn w:val="Tabelanormal"/>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121">
    <w:name w:val="Sombreamento Claro - Ênfase 1121"/>
    <w:basedOn w:val="Tabelanormal"/>
    <w:uiPriority w:val="60"/>
    <w:rsid w:val="005F1AEA"/>
    <w:pPr>
      <w:spacing w:after="0" w:line="240" w:lineRule="auto"/>
    </w:pPr>
    <w:rPr>
      <w:rFonts w:ascii="Times New Roman" w:eastAsia="Times New Roman" w:hAnsi="Times New Roman"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enn">
    <w:name w:val="en_n"/>
    <w:basedOn w:val="Tipodeletrapredefinidodopargrafo"/>
    <w:rsid w:val="005F1AEA"/>
  </w:style>
  <w:style w:type="character" w:customStyle="1" w:styleId="MenoPendente4">
    <w:name w:val="Menção Pendente4"/>
    <w:basedOn w:val="Tipodeletrapredefinidodopargrafo"/>
    <w:uiPriority w:val="99"/>
    <w:semiHidden/>
    <w:unhideWhenUsed/>
    <w:rsid w:val="00DC2DB5"/>
    <w:rPr>
      <w:color w:val="605E5C"/>
      <w:shd w:val="clear" w:color="auto" w:fill="E1DFDD"/>
    </w:rPr>
  </w:style>
  <w:style w:type="paragraph" w:styleId="SemEspaamento">
    <w:name w:val="No Spacing"/>
    <w:link w:val="SemEspaamentoCarter"/>
    <w:qFormat/>
    <w:rsid w:val="00FA1760"/>
    <w:pPr>
      <w:spacing w:after="0" w:line="240" w:lineRule="auto"/>
    </w:pPr>
  </w:style>
  <w:style w:type="character" w:customStyle="1" w:styleId="SemEspaamentoCarter">
    <w:name w:val="Sem Espaçamento Caráter"/>
    <w:basedOn w:val="Tipodeletrapredefinidodopargrafo"/>
    <w:link w:val="SemEspaamento"/>
    <w:rsid w:val="00FA1760"/>
  </w:style>
  <w:style w:type="character" w:customStyle="1" w:styleId="Caracteresdenotadefim">
    <w:name w:val="Caracteres de nota de fim"/>
    <w:qFormat/>
    <w:rsid w:val="00923D50"/>
    <w:rPr>
      <w:vertAlign w:val="superscript"/>
    </w:rPr>
  </w:style>
  <w:style w:type="character" w:customStyle="1" w:styleId="Caracteresdenotaderodap0">
    <w:name w:val="Caracteres de nota de rodapé"/>
    <w:uiPriority w:val="99"/>
    <w:qFormat/>
    <w:rsid w:val="00D86F1E"/>
    <w:rPr>
      <w:vertAlign w:val="superscript"/>
    </w:rPr>
  </w:style>
  <w:style w:type="character" w:customStyle="1" w:styleId="InternetLink">
    <w:name w:val="Internet Link"/>
    <w:basedOn w:val="Tipodeletrapredefinidodopargrafo"/>
    <w:uiPriority w:val="99"/>
    <w:unhideWhenUsed/>
    <w:qFormat/>
    <w:rsid w:val="00101BBC"/>
    <w:rPr>
      <w:color w:val="0000FF" w:themeColor="hyperlink"/>
      <w:u w:val="single"/>
    </w:rPr>
  </w:style>
  <w:style w:type="character" w:customStyle="1" w:styleId="Ttulo4Carter">
    <w:name w:val="Título 4 Caráter"/>
    <w:basedOn w:val="Tipodeletrapredefinidodopargrafo"/>
    <w:link w:val="Ttulo4"/>
    <w:uiPriority w:val="9"/>
    <w:semiHidden/>
    <w:rsid w:val="00671FC6"/>
    <w:rPr>
      <w:rFonts w:ascii="Arial" w:eastAsia="Times New Roman" w:hAnsi="Arial" w:cs="Times New Roman"/>
      <w:i/>
      <w:iCs/>
      <w:color w:val="2F5496"/>
      <w:sz w:val="24"/>
      <w:szCs w:val="24"/>
      <w:lang w:eastAsia="pt-BR"/>
    </w:rPr>
  </w:style>
  <w:style w:type="character" w:customStyle="1" w:styleId="Ttulo6Carter">
    <w:name w:val="Título 6 Caráter"/>
    <w:basedOn w:val="Tipodeletrapredefinidodopargrafo"/>
    <w:link w:val="Ttulo6"/>
    <w:uiPriority w:val="9"/>
    <w:semiHidden/>
    <w:rsid w:val="00671FC6"/>
    <w:rPr>
      <w:rFonts w:ascii="Arial" w:eastAsia="Times New Roman" w:hAnsi="Arial" w:cs="Times New Roman"/>
      <w:i/>
      <w:iCs/>
      <w:color w:val="595959"/>
      <w:sz w:val="24"/>
      <w:szCs w:val="24"/>
      <w:lang w:eastAsia="pt-BR"/>
    </w:rPr>
  </w:style>
  <w:style w:type="character" w:customStyle="1" w:styleId="Ttulo7Carter">
    <w:name w:val="Título 7 Caráter"/>
    <w:basedOn w:val="Tipodeletrapredefinidodopargrafo"/>
    <w:link w:val="Ttulo7"/>
    <w:uiPriority w:val="9"/>
    <w:semiHidden/>
    <w:rsid w:val="00671FC6"/>
    <w:rPr>
      <w:rFonts w:ascii="Arial" w:eastAsia="Times New Roman" w:hAnsi="Arial" w:cs="Times New Roman"/>
      <w:color w:val="595959"/>
      <w:sz w:val="24"/>
      <w:szCs w:val="24"/>
      <w:lang w:eastAsia="pt-BR"/>
    </w:rPr>
  </w:style>
  <w:style w:type="character" w:customStyle="1" w:styleId="Ttulo8Carter">
    <w:name w:val="Título 8 Caráter"/>
    <w:basedOn w:val="Tipodeletrapredefinidodopargrafo"/>
    <w:link w:val="Ttulo8"/>
    <w:uiPriority w:val="9"/>
    <w:semiHidden/>
    <w:rsid w:val="00671FC6"/>
    <w:rPr>
      <w:rFonts w:ascii="Arial" w:eastAsia="Times New Roman" w:hAnsi="Arial" w:cs="Times New Roman"/>
      <w:i/>
      <w:iCs/>
      <w:color w:val="272727"/>
      <w:sz w:val="24"/>
      <w:szCs w:val="24"/>
      <w:lang w:eastAsia="pt-BR"/>
    </w:rPr>
  </w:style>
  <w:style w:type="paragraph" w:styleId="Subttulo">
    <w:name w:val="Subtitle"/>
    <w:basedOn w:val="Normal"/>
    <w:next w:val="Normal"/>
    <w:link w:val="SubttuloCarter"/>
    <w:uiPriority w:val="11"/>
    <w:qFormat/>
    <w:rsid w:val="00671FC6"/>
    <w:pPr>
      <w:numPr>
        <w:ilvl w:val="1"/>
      </w:numPr>
      <w:spacing w:after="160" w:line="259" w:lineRule="auto"/>
    </w:pPr>
    <w:rPr>
      <w:rFonts w:ascii="Arial" w:eastAsia="Times New Roman" w:hAnsi="Arial"/>
      <w:color w:val="595959"/>
      <w:spacing w:val="15"/>
      <w:sz w:val="28"/>
      <w:szCs w:val="28"/>
      <w:lang w:eastAsia="pt-BR"/>
    </w:rPr>
  </w:style>
  <w:style w:type="character" w:customStyle="1" w:styleId="SubttuloCarter">
    <w:name w:val="Subtítulo Caráter"/>
    <w:basedOn w:val="Tipodeletrapredefinidodopargrafo"/>
    <w:link w:val="Subttulo"/>
    <w:uiPriority w:val="11"/>
    <w:rsid w:val="00671FC6"/>
    <w:rPr>
      <w:rFonts w:ascii="Arial" w:eastAsia="Times New Roman" w:hAnsi="Arial" w:cs="Times New Roman"/>
      <w:color w:val="595959"/>
      <w:spacing w:val="15"/>
      <w:sz w:val="28"/>
      <w:szCs w:val="28"/>
      <w:lang w:eastAsia="pt-BR"/>
    </w:rPr>
  </w:style>
  <w:style w:type="paragraph" w:styleId="Citao">
    <w:name w:val="Quote"/>
    <w:basedOn w:val="Normal"/>
    <w:next w:val="Normal"/>
    <w:link w:val="CitaoCarter"/>
    <w:uiPriority w:val="29"/>
    <w:qFormat/>
    <w:rsid w:val="00671FC6"/>
    <w:pPr>
      <w:spacing w:before="160" w:after="160" w:line="259" w:lineRule="auto"/>
      <w:jc w:val="center"/>
    </w:pPr>
    <w:rPr>
      <w:rFonts w:ascii="Arial" w:hAnsi="Arial"/>
      <w:i/>
      <w:iCs/>
      <w:color w:val="404040"/>
      <w:sz w:val="24"/>
      <w:szCs w:val="24"/>
      <w:lang w:eastAsia="pt-BR"/>
    </w:rPr>
  </w:style>
  <w:style w:type="character" w:customStyle="1" w:styleId="CitaoCarter">
    <w:name w:val="Citação Caráter"/>
    <w:basedOn w:val="Tipodeletrapredefinidodopargrafo"/>
    <w:link w:val="Citao"/>
    <w:uiPriority w:val="29"/>
    <w:rsid w:val="00671FC6"/>
    <w:rPr>
      <w:rFonts w:ascii="Arial" w:eastAsia="Calibri" w:hAnsi="Arial" w:cs="Times New Roman"/>
      <w:i/>
      <w:iCs/>
      <w:color w:val="404040"/>
      <w:sz w:val="24"/>
      <w:szCs w:val="24"/>
      <w:lang w:eastAsia="pt-BR"/>
    </w:rPr>
  </w:style>
  <w:style w:type="character" w:styleId="nfaseIntensa">
    <w:name w:val="Intense Emphasis"/>
    <w:uiPriority w:val="21"/>
    <w:qFormat/>
    <w:rsid w:val="00671FC6"/>
    <w:rPr>
      <w:i/>
      <w:iCs/>
      <w:color w:val="2F5496"/>
    </w:rPr>
  </w:style>
  <w:style w:type="paragraph" w:styleId="CitaoIntensa">
    <w:name w:val="Intense Quote"/>
    <w:basedOn w:val="Normal"/>
    <w:next w:val="Normal"/>
    <w:link w:val="CitaoIntensaCarter"/>
    <w:uiPriority w:val="30"/>
    <w:qFormat/>
    <w:rsid w:val="00671FC6"/>
    <w:pPr>
      <w:pBdr>
        <w:top w:val="single" w:sz="4" w:space="10" w:color="2F5496"/>
        <w:bottom w:val="single" w:sz="4" w:space="10" w:color="2F5496"/>
      </w:pBdr>
      <w:spacing w:before="360" w:after="360" w:line="259" w:lineRule="auto"/>
      <w:ind w:left="864" w:right="864"/>
      <w:jc w:val="center"/>
    </w:pPr>
    <w:rPr>
      <w:rFonts w:ascii="Arial" w:hAnsi="Arial"/>
      <w:i/>
      <w:iCs/>
      <w:color w:val="2F5496"/>
      <w:sz w:val="24"/>
      <w:szCs w:val="24"/>
      <w:lang w:eastAsia="pt-BR"/>
    </w:rPr>
  </w:style>
  <w:style w:type="character" w:customStyle="1" w:styleId="CitaoIntensaCarter">
    <w:name w:val="Citação Intensa Caráter"/>
    <w:basedOn w:val="Tipodeletrapredefinidodopargrafo"/>
    <w:link w:val="CitaoIntensa"/>
    <w:uiPriority w:val="30"/>
    <w:rsid w:val="00671FC6"/>
    <w:rPr>
      <w:rFonts w:ascii="Arial" w:eastAsia="Calibri" w:hAnsi="Arial" w:cs="Times New Roman"/>
      <w:i/>
      <w:iCs/>
      <w:color w:val="2F5496"/>
      <w:sz w:val="24"/>
      <w:szCs w:val="24"/>
      <w:lang w:eastAsia="pt-BR"/>
    </w:rPr>
  </w:style>
  <w:style w:type="character" w:styleId="RefernciaIntensa">
    <w:name w:val="Intense Reference"/>
    <w:uiPriority w:val="32"/>
    <w:qFormat/>
    <w:rsid w:val="00671FC6"/>
    <w:rPr>
      <w:b/>
      <w:bCs/>
      <w:smallCaps/>
      <w:color w:val="2F5496"/>
      <w:spacing w:val="5"/>
    </w:rPr>
  </w:style>
  <w:style w:type="paragraph" w:customStyle="1" w:styleId="ABNT">
    <w:name w:val="ABNT"/>
    <w:basedOn w:val="Normal"/>
    <w:link w:val="ABNTChar"/>
    <w:rsid w:val="00671FC6"/>
    <w:pPr>
      <w:widowControl w:val="0"/>
      <w:spacing w:after="0" w:line="256" w:lineRule="auto"/>
      <w:jc w:val="center"/>
    </w:pPr>
    <w:rPr>
      <w:rFonts w:ascii="Times New Roman" w:eastAsia="Times New Roman" w:hAnsi="Times New Roman"/>
      <w:sz w:val="24"/>
      <w:szCs w:val="24"/>
      <w:lang w:eastAsia="pt-BR"/>
    </w:rPr>
  </w:style>
  <w:style w:type="character" w:customStyle="1" w:styleId="ABNTChar">
    <w:name w:val="ABNT Char"/>
    <w:link w:val="ABNT"/>
    <w:rsid w:val="00671FC6"/>
    <w:rPr>
      <w:rFonts w:ascii="Times New Roman" w:eastAsia="Times New Roman" w:hAnsi="Times New Roman" w:cs="Times New Roman"/>
      <w:sz w:val="24"/>
      <w:szCs w:val="24"/>
      <w:lang w:eastAsia="pt-BR"/>
    </w:rPr>
  </w:style>
  <w:style w:type="paragraph" w:styleId="Reviso">
    <w:name w:val="Revision"/>
    <w:hidden/>
    <w:uiPriority w:val="99"/>
    <w:semiHidden/>
    <w:rsid w:val="00671FC6"/>
    <w:pPr>
      <w:spacing w:after="0" w:line="240" w:lineRule="auto"/>
    </w:pPr>
    <w:rPr>
      <w:rFonts w:ascii="Arial" w:eastAsia="Calibri" w:hAnsi="Arial" w:cs="Times New Roman"/>
      <w:sz w:val="24"/>
      <w:szCs w:val="24"/>
      <w:lang w:eastAsia="pt-BR"/>
    </w:rPr>
  </w:style>
  <w:style w:type="character" w:styleId="MenoNoResolvida">
    <w:name w:val="Unresolved Mention"/>
    <w:basedOn w:val="Tipodeletrapredefinidodopargrafo"/>
    <w:uiPriority w:val="99"/>
    <w:semiHidden/>
    <w:unhideWhenUsed/>
    <w:rsid w:val="00671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41413">
      <w:bodyDiv w:val="1"/>
      <w:marLeft w:val="0"/>
      <w:marRight w:val="0"/>
      <w:marTop w:val="0"/>
      <w:marBottom w:val="0"/>
      <w:divBdr>
        <w:top w:val="none" w:sz="0" w:space="0" w:color="auto"/>
        <w:left w:val="none" w:sz="0" w:space="0" w:color="auto"/>
        <w:bottom w:val="none" w:sz="0" w:space="0" w:color="auto"/>
        <w:right w:val="none" w:sz="0" w:space="0" w:color="auto"/>
      </w:divBdr>
    </w:div>
    <w:div w:id="699164855">
      <w:bodyDiv w:val="1"/>
      <w:marLeft w:val="0"/>
      <w:marRight w:val="0"/>
      <w:marTop w:val="0"/>
      <w:marBottom w:val="0"/>
      <w:divBdr>
        <w:top w:val="none" w:sz="0" w:space="0" w:color="auto"/>
        <w:left w:val="none" w:sz="0" w:space="0" w:color="auto"/>
        <w:bottom w:val="none" w:sz="0" w:space="0" w:color="auto"/>
        <w:right w:val="none" w:sz="0" w:space="0" w:color="auto"/>
      </w:divBdr>
    </w:div>
    <w:div w:id="1064722663">
      <w:bodyDiv w:val="1"/>
      <w:marLeft w:val="0"/>
      <w:marRight w:val="0"/>
      <w:marTop w:val="0"/>
      <w:marBottom w:val="0"/>
      <w:divBdr>
        <w:top w:val="none" w:sz="0" w:space="0" w:color="auto"/>
        <w:left w:val="none" w:sz="0" w:space="0" w:color="auto"/>
        <w:bottom w:val="none" w:sz="0" w:space="0" w:color="auto"/>
        <w:right w:val="none" w:sz="0" w:space="0" w:color="auto"/>
      </w:divBdr>
    </w:div>
    <w:div w:id="1408723806">
      <w:bodyDiv w:val="1"/>
      <w:marLeft w:val="0"/>
      <w:marRight w:val="0"/>
      <w:marTop w:val="0"/>
      <w:marBottom w:val="0"/>
      <w:divBdr>
        <w:top w:val="none" w:sz="0" w:space="0" w:color="auto"/>
        <w:left w:val="none" w:sz="0" w:space="0" w:color="auto"/>
        <w:bottom w:val="none" w:sz="0" w:space="0" w:color="auto"/>
        <w:right w:val="none" w:sz="0" w:space="0" w:color="auto"/>
      </w:divBdr>
    </w:div>
    <w:div w:id="1581717906">
      <w:bodyDiv w:val="1"/>
      <w:marLeft w:val="0"/>
      <w:marRight w:val="0"/>
      <w:marTop w:val="0"/>
      <w:marBottom w:val="0"/>
      <w:divBdr>
        <w:top w:val="none" w:sz="0" w:space="0" w:color="auto"/>
        <w:left w:val="none" w:sz="0" w:space="0" w:color="auto"/>
        <w:bottom w:val="none" w:sz="0" w:space="0" w:color="auto"/>
        <w:right w:val="none" w:sz="0" w:space="0" w:color="auto"/>
      </w:divBdr>
    </w:div>
    <w:div w:id="1721975160">
      <w:bodyDiv w:val="1"/>
      <w:marLeft w:val="0"/>
      <w:marRight w:val="0"/>
      <w:marTop w:val="0"/>
      <w:marBottom w:val="0"/>
      <w:divBdr>
        <w:top w:val="none" w:sz="0" w:space="0" w:color="auto"/>
        <w:left w:val="none" w:sz="0" w:space="0" w:color="auto"/>
        <w:bottom w:val="none" w:sz="0" w:space="0" w:color="auto"/>
        <w:right w:val="none" w:sz="0" w:space="0" w:color="auto"/>
      </w:divBdr>
    </w:div>
    <w:div w:id="182724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yperlink" Target="http://www.redalyc.org/articulo.oa?id=445944369014"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07/relationships/hdphoto" Target="media/hdphoto4.wdp"/><Relationship Id="rId1" Type="http://schemas.openxmlformats.org/officeDocument/2006/relationships/image" Target="media/image6.png"/><Relationship Id="rId4" Type="http://schemas.microsoft.com/office/2007/relationships/hdphoto" Target="media/hdphoto3.wdp"/></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CC238-0D5C-45A5-BDA5-231451ACD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6587</Words>
  <Characters>35571</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Adê</dc:creator>
  <cp:lastModifiedBy>Patrício Barreiros</cp:lastModifiedBy>
  <cp:revision>2</cp:revision>
  <cp:lastPrinted>2017-05-09T01:12:00Z</cp:lastPrinted>
  <dcterms:created xsi:type="dcterms:W3CDTF">2026-01-29T18:35:00Z</dcterms:created>
  <dcterms:modified xsi:type="dcterms:W3CDTF">2026-01-29T18:35:00Z</dcterms:modified>
</cp:coreProperties>
</file>